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4662" w14:textId="77777777" w:rsidR="00046060" w:rsidRDefault="00046060">
      <w:pPr>
        <w:pStyle w:val="Sinespaciado"/>
        <w:rPr>
          <w:rFonts w:ascii="Times New Roman" w:eastAsiaTheme="minorEastAsia" w:hAnsi="Times New Roman" w:cs="Times New Roman"/>
          <w:sz w:val="2"/>
          <w:szCs w:val="24"/>
          <w:lang w:val="es-ES_tradnl" w:eastAsia="es-ES"/>
        </w:rPr>
      </w:pPr>
      <w:bookmarkStart w:id="0" w:name="_Hlk49250386"/>
      <w:bookmarkStart w:id="1" w:name="_Toc410402057"/>
      <w:bookmarkStart w:id="2" w:name="_Toc457550818"/>
      <w:bookmarkEnd w:id="0"/>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4866D187" w14:textId="77777777" w:rsidR="00DB22E2" w:rsidRPr="00FC4688" w:rsidRDefault="009A1471">
          <w:pPr>
            <w:pStyle w:val="Sinespaciado"/>
            <w:rPr>
              <w:rFonts w:ascii="Times New Roman" w:hAnsi="Times New Roman" w:cs="Times New Roman"/>
              <w:sz w:val="2"/>
            </w:rPr>
          </w:pPr>
          <w:r w:rsidRPr="00FC4688">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630EEAF4">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276D1405"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08334E">
                                      <w:rPr>
                                        <w:rFonts w:ascii="Times New Roman" w:hAnsi="Times New Roman" w:cs="Times New Roman"/>
                                        <w:b/>
                                        <w:bCs/>
                                        <w:i/>
                                        <w:iCs/>
                                        <w:color w:val="4F81BD" w:themeColor="accent1"/>
                                        <w:sz w:val="36"/>
                                        <w:szCs w:val="36"/>
                                      </w:rPr>
                                      <w:t>Año</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276D1405"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08334E">
                                <w:rPr>
                                  <w:rFonts w:ascii="Times New Roman" w:hAnsi="Times New Roman" w:cs="Times New Roman"/>
                                  <w:b/>
                                  <w:bCs/>
                                  <w:i/>
                                  <w:iCs/>
                                  <w:color w:val="4F81BD" w:themeColor="accent1"/>
                                  <w:sz w:val="36"/>
                                  <w:szCs w:val="36"/>
                                </w:rPr>
                                <w:t>Año</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v:textbox>
                    <w10:wrap anchorx="page" anchory="margin"/>
                  </v:shape>
                </w:pict>
              </mc:Fallback>
            </mc:AlternateContent>
          </w:r>
        </w:p>
        <w:p w14:paraId="7388F779" w14:textId="77777777" w:rsidR="00DB22E2" w:rsidRPr="00FC4688" w:rsidRDefault="00DB22E2" w:rsidP="00CD34D6">
          <w:pPr>
            <w:rPr>
              <w:rFonts w:cs="Times New Roman"/>
            </w:rPr>
          </w:pPr>
          <w:r w:rsidRPr="00FC4688">
            <w:rPr>
              <w:rFonts w:cs="Times New Roman"/>
              <w:noProof/>
              <w:color w:val="4F81BD" w:themeColor="accent1"/>
              <w:sz w:val="36"/>
              <w:szCs w:val="36"/>
              <w:lang w:eastAsia="es-GT"/>
            </w:rPr>
            <mc:AlternateContent>
              <mc:Choice Requires="wpg">
                <w:drawing>
                  <wp:anchor distT="0" distB="0" distL="114300" distR="114300" simplePos="0" relativeHeight="251676676" behindDoc="1" locked="0" layoutInCell="1" allowOverlap="1" wp14:anchorId="05D5122E" wp14:editId="065F7D2F">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40D890E" id="Grupo 2" o:spid="_x0000_s1026" style="position:absolute;margin-left:0;margin-top:0;width:432.65pt;height:448.55pt;z-index:-25163980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r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EclJas8BgAAECEAAA4AAAAAAAAAAAAA&#10;AAAALgIAAGRycy9lMm9Eb2MueG1sUEsBAi0AFAAGAAgAAAAhAAog1ILaAAAABQEAAA8AAAAAAAAA&#10;AAAAAAAAlggAAGRycy9kb3ducmV2LnhtbFBLBQYAAAAABAAEAPMAAACdCQ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FC4688">
            <w:rPr>
              <w:rFonts w:cs="Times New Roman"/>
              <w:noProof/>
              <w:lang w:eastAsia="es-GT"/>
            </w:rPr>
            <mc:AlternateContent>
              <mc:Choice Requires="wps">
                <w:drawing>
                  <wp:anchor distT="0" distB="0" distL="114300" distR="114300" simplePos="0" relativeHeight="251658240" behindDoc="0" locked="0" layoutInCell="1" allowOverlap="1" wp14:anchorId="2C570617" wp14:editId="7C267477">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1E6B495C" w14:textId="669C5AFA" w:rsidR="00DB22E2" w:rsidRPr="00FC4688" w:rsidRDefault="00F015E4" w:rsidP="00CD34D6">
          <w:pPr>
            <w:spacing w:after="200" w:line="276" w:lineRule="auto"/>
            <w:rPr>
              <w:rFonts w:eastAsiaTheme="majorEastAsia" w:cs="Times New Roman"/>
              <w:b/>
              <w:bCs/>
              <w:color w:val="FF0000"/>
              <w:szCs w:val="26"/>
            </w:rPr>
          </w:pPr>
          <w:r w:rsidRPr="00F015E4">
            <w:rPr>
              <w:rFonts w:eastAsiaTheme="majorEastAsia" w:cs="Times New Roman"/>
              <w:b/>
              <w:bCs/>
              <w:color w:val="FF0000"/>
              <w:szCs w:val="26"/>
            </w:rPr>
            <w:drawing>
              <wp:anchor distT="0" distB="0" distL="114300" distR="114300" simplePos="0" relativeHeight="251657215" behindDoc="0" locked="0" layoutInCell="1" allowOverlap="1" wp14:anchorId="0EAB7DE1" wp14:editId="7E6D130B">
                <wp:simplePos x="0" y="0"/>
                <wp:positionH relativeFrom="margin">
                  <wp:align>center</wp:align>
                </wp:positionH>
                <wp:positionV relativeFrom="paragraph">
                  <wp:posOffset>2479260</wp:posOffset>
                </wp:positionV>
                <wp:extent cx="1677670" cy="1845310"/>
                <wp:effectExtent l="0" t="0" r="0" b="2540"/>
                <wp:wrapSquare wrapText="bothSides"/>
                <wp:docPr id="292517484" name="Imagen 292517484" descr="Logotipo, nombre de la empresa&#10;&#10;Descripción generada automáticamente">
                  <a:extLst xmlns:a="http://schemas.openxmlformats.org/drawingml/2006/main">
                    <a:ext uri="{FF2B5EF4-FFF2-40B4-BE49-F238E27FC236}">
                      <a16:creationId xmlns:a16="http://schemas.microsoft.com/office/drawing/2014/main" id="{B2026591-938B-AFE1-1A8B-110537A1E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7484" name="Imagen 292517484" descr="Logotipo, nombre de la empresa&#10;&#10;Descripción generada automáticamente">
                          <a:extLst>
                            <a:ext uri="{FF2B5EF4-FFF2-40B4-BE49-F238E27FC236}">
                              <a16:creationId xmlns:a16="http://schemas.microsoft.com/office/drawing/2014/main" id="{B2026591-938B-AFE1-1A8B-110537A1EC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457" t="14032" r="16881" b="12626"/>
                        <a:stretch/>
                      </pic:blipFill>
                      <pic:spPr bwMode="auto">
                        <a:xfrm>
                          <a:off x="0" y="0"/>
                          <a:ext cx="1677670" cy="18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2E2" w:rsidRPr="00FC4688">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4EA01E7" w14:textId="77777777" w:rsidR="0032588B" w:rsidRPr="00FC4688" w:rsidRDefault="0032588B" w:rsidP="000D58D6">
          <w:pPr>
            <w:pStyle w:val="TtuloTDC"/>
            <w:jc w:val="center"/>
            <w:rPr>
              <w:rFonts w:ascii="Times New Roman" w:hAnsi="Times New Roman" w:cs="Times New Roman"/>
              <w:color w:val="auto"/>
              <w:sz w:val="24"/>
              <w:szCs w:val="24"/>
              <w:lang w:val="es-ES"/>
            </w:rPr>
          </w:pPr>
          <w:r w:rsidRPr="00FC4688">
            <w:rPr>
              <w:rFonts w:ascii="Times New Roman" w:hAnsi="Times New Roman" w:cs="Times New Roman"/>
              <w:color w:val="auto"/>
              <w:sz w:val="24"/>
              <w:szCs w:val="24"/>
              <w:lang w:val="es-ES"/>
            </w:rPr>
            <w:t>Contenido</w:t>
          </w:r>
        </w:p>
        <w:p w14:paraId="7057A639" w14:textId="77777777" w:rsidR="00F3006C" w:rsidRPr="00FC4688" w:rsidRDefault="00F3006C" w:rsidP="00CD34D6">
          <w:pPr>
            <w:spacing w:line="276" w:lineRule="auto"/>
            <w:rPr>
              <w:rFonts w:cs="Times New Roman"/>
              <w:color w:val="FF0000"/>
              <w:lang w:val="es-ES" w:eastAsia="es-GT"/>
            </w:rPr>
          </w:pPr>
        </w:p>
        <w:p w14:paraId="04FE76A9" w14:textId="516CC120" w:rsidR="005E3A61" w:rsidRDefault="0032588B">
          <w:pPr>
            <w:pStyle w:val="TDC1"/>
            <w:rPr>
              <w:rFonts w:asciiTheme="minorHAnsi" w:eastAsiaTheme="minorEastAsia" w:hAnsiTheme="minorHAnsi" w:cstheme="minorBidi"/>
              <w:b w:val="0"/>
              <w:bCs w:val="0"/>
              <w:szCs w:val="22"/>
              <w:lang w:eastAsia="es-GT"/>
            </w:rPr>
          </w:pPr>
          <w:r w:rsidRPr="00FC4688">
            <w:rPr>
              <w:color w:val="FF0000"/>
              <w:lang w:val="es-ES_tradnl"/>
            </w:rPr>
            <w:fldChar w:fldCharType="begin"/>
          </w:r>
          <w:r w:rsidRPr="00FC4688">
            <w:rPr>
              <w:color w:val="FF0000"/>
            </w:rPr>
            <w:instrText xml:space="preserve"> TOC \o "1-3" \h \z \u </w:instrText>
          </w:r>
          <w:r w:rsidRPr="00FC4688">
            <w:rPr>
              <w:color w:val="FF0000"/>
              <w:lang w:val="es-ES_tradnl"/>
            </w:rPr>
            <w:fldChar w:fldCharType="separate"/>
          </w:r>
          <w:hyperlink w:anchor="_Toc127437674" w:history="1">
            <w:r w:rsidR="005E3A61" w:rsidRPr="00731E45">
              <w:rPr>
                <w:rStyle w:val="Hipervnculo"/>
                <w:lang w:val="es-ES_tradnl"/>
              </w:rPr>
              <w:t>Introducción</w:t>
            </w:r>
            <w:r w:rsidR="005E3A61">
              <w:rPr>
                <w:webHidden/>
              </w:rPr>
              <w:tab/>
            </w:r>
            <w:r w:rsidR="005E3A61">
              <w:rPr>
                <w:webHidden/>
              </w:rPr>
              <w:fldChar w:fldCharType="begin"/>
            </w:r>
            <w:r w:rsidR="005E3A61">
              <w:rPr>
                <w:webHidden/>
              </w:rPr>
              <w:instrText xml:space="preserve"> PAGEREF _Toc127437674 \h </w:instrText>
            </w:r>
            <w:r w:rsidR="005E3A61">
              <w:rPr>
                <w:webHidden/>
              </w:rPr>
            </w:r>
            <w:r w:rsidR="005E3A61">
              <w:rPr>
                <w:webHidden/>
              </w:rPr>
              <w:fldChar w:fldCharType="separate"/>
            </w:r>
            <w:r w:rsidR="00105CC5">
              <w:rPr>
                <w:webHidden/>
              </w:rPr>
              <w:t>2</w:t>
            </w:r>
            <w:r w:rsidR="005E3A61">
              <w:rPr>
                <w:webHidden/>
              </w:rPr>
              <w:fldChar w:fldCharType="end"/>
            </w:r>
          </w:hyperlink>
        </w:p>
        <w:p w14:paraId="311AEA27" w14:textId="33F2E14A" w:rsidR="005E3A61" w:rsidRDefault="005E3A61">
          <w:pPr>
            <w:pStyle w:val="TDC1"/>
            <w:rPr>
              <w:rFonts w:asciiTheme="minorHAnsi" w:eastAsiaTheme="minorEastAsia" w:hAnsiTheme="minorHAnsi" w:cstheme="minorBidi"/>
              <w:b w:val="0"/>
              <w:bCs w:val="0"/>
              <w:szCs w:val="22"/>
              <w:lang w:eastAsia="es-GT"/>
            </w:rPr>
          </w:pPr>
          <w:hyperlink w:anchor="_Toc127437675" w:history="1">
            <w:r w:rsidRPr="00731E45">
              <w:rPr>
                <w:rStyle w:val="Hipervnculo"/>
                <w:lang w:val="es-ES_tradnl"/>
              </w:rPr>
              <w:t>Cambios Metodológicos 2022</w:t>
            </w:r>
            <w:r>
              <w:rPr>
                <w:webHidden/>
              </w:rPr>
              <w:tab/>
            </w:r>
            <w:r>
              <w:rPr>
                <w:webHidden/>
              </w:rPr>
              <w:fldChar w:fldCharType="begin"/>
            </w:r>
            <w:r>
              <w:rPr>
                <w:webHidden/>
              </w:rPr>
              <w:instrText xml:space="preserve"> PAGEREF _Toc127437675 \h </w:instrText>
            </w:r>
            <w:r>
              <w:rPr>
                <w:webHidden/>
              </w:rPr>
            </w:r>
            <w:r>
              <w:rPr>
                <w:webHidden/>
              </w:rPr>
              <w:fldChar w:fldCharType="separate"/>
            </w:r>
            <w:r w:rsidR="00105CC5">
              <w:rPr>
                <w:webHidden/>
              </w:rPr>
              <w:t>2</w:t>
            </w:r>
            <w:r>
              <w:rPr>
                <w:webHidden/>
              </w:rPr>
              <w:fldChar w:fldCharType="end"/>
            </w:r>
          </w:hyperlink>
        </w:p>
        <w:p w14:paraId="7095B790" w14:textId="797E218C" w:rsidR="005E3A61" w:rsidRDefault="005E3A61">
          <w:pPr>
            <w:pStyle w:val="TDC1"/>
            <w:rPr>
              <w:rFonts w:asciiTheme="minorHAnsi" w:eastAsiaTheme="minorEastAsia" w:hAnsiTheme="minorHAnsi" w:cstheme="minorBidi"/>
              <w:b w:val="0"/>
              <w:bCs w:val="0"/>
              <w:szCs w:val="22"/>
              <w:lang w:eastAsia="es-GT"/>
            </w:rPr>
          </w:pPr>
          <w:hyperlink w:anchor="_Toc127437676" w:history="1">
            <w:r w:rsidRPr="00731E45">
              <w:rPr>
                <w:rStyle w:val="Hipervnculo"/>
                <w:lang w:val="es-ES_tradnl"/>
              </w:rPr>
              <w:t>I.</w:t>
            </w:r>
            <w:r>
              <w:rPr>
                <w:rFonts w:asciiTheme="minorHAnsi" w:eastAsiaTheme="minorEastAsia" w:hAnsiTheme="minorHAnsi" w:cstheme="minorBidi"/>
                <w:b w:val="0"/>
                <w:bCs w:val="0"/>
                <w:szCs w:val="22"/>
                <w:lang w:eastAsia="es-GT"/>
              </w:rPr>
              <w:tab/>
            </w:r>
            <w:r w:rsidRPr="00731E45">
              <w:rPr>
                <w:rStyle w:val="Hipervnculo"/>
                <w:lang w:val="es-ES_tradnl"/>
              </w:rPr>
              <w:t>Ingresos del Gobierno Central Presupuestario</w:t>
            </w:r>
            <w:r>
              <w:rPr>
                <w:webHidden/>
              </w:rPr>
              <w:tab/>
            </w:r>
            <w:r>
              <w:rPr>
                <w:webHidden/>
              </w:rPr>
              <w:fldChar w:fldCharType="begin"/>
            </w:r>
            <w:r>
              <w:rPr>
                <w:webHidden/>
              </w:rPr>
              <w:instrText xml:space="preserve"> PAGEREF _Toc127437676 \h </w:instrText>
            </w:r>
            <w:r>
              <w:rPr>
                <w:webHidden/>
              </w:rPr>
            </w:r>
            <w:r>
              <w:rPr>
                <w:webHidden/>
              </w:rPr>
              <w:fldChar w:fldCharType="separate"/>
            </w:r>
            <w:r w:rsidR="00105CC5">
              <w:rPr>
                <w:webHidden/>
              </w:rPr>
              <w:t>2</w:t>
            </w:r>
            <w:r>
              <w:rPr>
                <w:webHidden/>
              </w:rPr>
              <w:fldChar w:fldCharType="end"/>
            </w:r>
          </w:hyperlink>
        </w:p>
        <w:p w14:paraId="3AB00C42" w14:textId="235ECBF1" w:rsidR="005E3A61" w:rsidRDefault="005E3A61">
          <w:pPr>
            <w:pStyle w:val="TDC2"/>
            <w:rPr>
              <w:rFonts w:asciiTheme="minorHAnsi" w:hAnsiTheme="minorHAnsi"/>
              <w:noProof/>
              <w:szCs w:val="22"/>
              <w:lang w:eastAsia="es-GT"/>
            </w:rPr>
          </w:pPr>
          <w:hyperlink w:anchor="_Toc127437677" w:history="1">
            <w:r w:rsidRPr="00731E45">
              <w:rPr>
                <w:rStyle w:val="Hipervnculo"/>
                <w:rFonts w:cs="Times New Roman"/>
                <w:noProof/>
              </w:rPr>
              <w:t>1.1</w:t>
            </w:r>
            <w:r>
              <w:rPr>
                <w:rFonts w:asciiTheme="minorHAnsi" w:hAnsiTheme="minorHAnsi"/>
                <w:noProof/>
                <w:szCs w:val="22"/>
                <w:lang w:eastAsia="es-GT"/>
              </w:rPr>
              <w:tab/>
            </w:r>
            <w:r w:rsidRPr="00731E45">
              <w:rPr>
                <w:rStyle w:val="Hipervnculo"/>
                <w:rFonts w:cs="Times New Roman"/>
                <w:noProof/>
              </w:rPr>
              <w:t>Aumentó el dinamismo en los ingresos fiscales</w:t>
            </w:r>
            <w:r>
              <w:rPr>
                <w:noProof/>
                <w:webHidden/>
              </w:rPr>
              <w:tab/>
            </w:r>
            <w:r>
              <w:rPr>
                <w:noProof/>
                <w:webHidden/>
              </w:rPr>
              <w:fldChar w:fldCharType="begin"/>
            </w:r>
            <w:r>
              <w:rPr>
                <w:noProof/>
                <w:webHidden/>
              </w:rPr>
              <w:instrText xml:space="preserve"> PAGEREF _Toc127437677 \h </w:instrText>
            </w:r>
            <w:r>
              <w:rPr>
                <w:noProof/>
                <w:webHidden/>
              </w:rPr>
            </w:r>
            <w:r>
              <w:rPr>
                <w:noProof/>
                <w:webHidden/>
              </w:rPr>
              <w:fldChar w:fldCharType="separate"/>
            </w:r>
            <w:r w:rsidR="00105CC5">
              <w:rPr>
                <w:noProof/>
                <w:webHidden/>
              </w:rPr>
              <w:t>2</w:t>
            </w:r>
            <w:r>
              <w:rPr>
                <w:noProof/>
                <w:webHidden/>
              </w:rPr>
              <w:fldChar w:fldCharType="end"/>
            </w:r>
          </w:hyperlink>
        </w:p>
        <w:p w14:paraId="0ED3024B" w14:textId="720DA359" w:rsidR="005E3A61" w:rsidRDefault="005E3A61">
          <w:pPr>
            <w:pStyle w:val="TDC2"/>
            <w:rPr>
              <w:rFonts w:asciiTheme="minorHAnsi" w:hAnsiTheme="minorHAnsi"/>
              <w:noProof/>
              <w:szCs w:val="22"/>
              <w:lang w:eastAsia="es-GT"/>
            </w:rPr>
          </w:pPr>
          <w:hyperlink w:anchor="_Toc127437678" w:history="1">
            <w:r w:rsidRPr="00731E45">
              <w:rPr>
                <w:rStyle w:val="Hipervnculo"/>
                <w:rFonts w:cs="Times New Roman"/>
                <w:noProof/>
              </w:rPr>
              <w:t>1.2</w:t>
            </w:r>
            <w:r>
              <w:rPr>
                <w:rFonts w:asciiTheme="minorHAnsi" w:hAnsiTheme="minorHAnsi"/>
                <w:noProof/>
                <w:szCs w:val="22"/>
                <w:lang w:eastAsia="es-GT"/>
              </w:rPr>
              <w:tab/>
            </w:r>
            <w:r w:rsidRPr="00731E45">
              <w:rPr>
                <w:rStyle w:val="Hipervnculo"/>
                <w:rFonts w:cs="Times New Roman"/>
                <w:noProof/>
              </w:rPr>
              <w:t>La recaudación de impuestos mostró un repunte</w:t>
            </w:r>
            <w:r>
              <w:rPr>
                <w:noProof/>
                <w:webHidden/>
              </w:rPr>
              <w:tab/>
            </w:r>
            <w:r>
              <w:rPr>
                <w:noProof/>
                <w:webHidden/>
              </w:rPr>
              <w:fldChar w:fldCharType="begin"/>
            </w:r>
            <w:r>
              <w:rPr>
                <w:noProof/>
                <w:webHidden/>
              </w:rPr>
              <w:instrText xml:space="preserve"> PAGEREF _Toc127437678 \h </w:instrText>
            </w:r>
            <w:r>
              <w:rPr>
                <w:noProof/>
                <w:webHidden/>
              </w:rPr>
            </w:r>
            <w:r>
              <w:rPr>
                <w:noProof/>
                <w:webHidden/>
              </w:rPr>
              <w:fldChar w:fldCharType="separate"/>
            </w:r>
            <w:r w:rsidR="00105CC5">
              <w:rPr>
                <w:noProof/>
                <w:webHidden/>
              </w:rPr>
              <w:t>3</w:t>
            </w:r>
            <w:r>
              <w:rPr>
                <w:noProof/>
                <w:webHidden/>
              </w:rPr>
              <w:fldChar w:fldCharType="end"/>
            </w:r>
          </w:hyperlink>
        </w:p>
        <w:p w14:paraId="500BA135" w14:textId="174ED4D9" w:rsidR="005E3A61" w:rsidRDefault="005E3A61">
          <w:pPr>
            <w:pStyle w:val="TDC1"/>
            <w:rPr>
              <w:rFonts w:asciiTheme="minorHAnsi" w:eastAsiaTheme="minorEastAsia" w:hAnsiTheme="minorHAnsi" w:cstheme="minorBidi"/>
              <w:b w:val="0"/>
              <w:bCs w:val="0"/>
              <w:szCs w:val="22"/>
              <w:lang w:eastAsia="es-GT"/>
            </w:rPr>
          </w:pPr>
          <w:hyperlink w:anchor="_Toc127437682" w:history="1">
            <w:r w:rsidRPr="00731E45">
              <w:rPr>
                <w:rStyle w:val="Hipervnculo"/>
                <w:lang w:val="es-ES_tradnl"/>
              </w:rPr>
              <w:t>II.</w:t>
            </w:r>
            <w:r>
              <w:rPr>
                <w:rFonts w:asciiTheme="minorHAnsi" w:eastAsiaTheme="minorEastAsia" w:hAnsiTheme="minorHAnsi" w:cstheme="minorBidi"/>
                <w:b w:val="0"/>
                <w:bCs w:val="0"/>
                <w:szCs w:val="22"/>
                <w:lang w:eastAsia="es-GT"/>
              </w:rPr>
              <w:tab/>
            </w:r>
            <w:r w:rsidRPr="00731E45">
              <w:rPr>
                <w:rStyle w:val="Hipervnculo"/>
                <w:lang w:val="es-ES_tradnl"/>
              </w:rPr>
              <w:t>Gasto Público del Gobierno Central Presupuestario</w:t>
            </w:r>
            <w:r>
              <w:rPr>
                <w:webHidden/>
              </w:rPr>
              <w:tab/>
            </w:r>
            <w:r>
              <w:rPr>
                <w:webHidden/>
              </w:rPr>
              <w:fldChar w:fldCharType="begin"/>
            </w:r>
            <w:r>
              <w:rPr>
                <w:webHidden/>
              </w:rPr>
              <w:instrText xml:space="preserve"> PAGEREF _Toc127437682 \h </w:instrText>
            </w:r>
            <w:r>
              <w:rPr>
                <w:webHidden/>
              </w:rPr>
            </w:r>
            <w:r>
              <w:rPr>
                <w:webHidden/>
              </w:rPr>
              <w:fldChar w:fldCharType="separate"/>
            </w:r>
            <w:r w:rsidR="00105CC5">
              <w:rPr>
                <w:webHidden/>
              </w:rPr>
              <w:t>4</w:t>
            </w:r>
            <w:r>
              <w:rPr>
                <w:webHidden/>
              </w:rPr>
              <w:fldChar w:fldCharType="end"/>
            </w:r>
          </w:hyperlink>
        </w:p>
        <w:p w14:paraId="69343D4D" w14:textId="5CD6CD84" w:rsidR="005E3A61" w:rsidRDefault="005E3A61">
          <w:pPr>
            <w:pStyle w:val="TDC2"/>
            <w:rPr>
              <w:rFonts w:asciiTheme="minorHAnsi" w:hAnsiTheme="minorHAnsi"/>
              <w:noProof/>
              <w:szCs w:val="22"/>
              <w:lang w:eastAsia="es-GT"/>
            </w:rPr>
          </w:pPr>
          <w:hyperlink w:anchor="_Toc127437686" w:history="1">
            <w:r w:rsidRPr="00731E45">
              <w:rPr>
                <w:rStyle w:val="Hipervnculo"/>
                <w:rFonts w:cs="Times New Roman"/>
                <w:noProof/>
              </w:rPr>
              <w:t>2.1</w:t>
            </w:r>
            <w:r>
              <w:rPr>
                <w:rFonts w:asciiTheme="minorHAnsi" w:hAnsiTheme="minorHAnsi"/>
                <w:noProof/>
                <w:szCs w:val="22"/>
                <w:lang w:eastAsia="es-GT"/>
              </w:rPr>
              <w:tab/>
            </w:r>
            <w:r w:rsidRPr="00731E45">
              <w:rPr>
                <w:rStyle w:val="Hipervnculo"/>
                <w:rFonts w:cs="Times New Roman"/>
                <w:noProof/>
              </w:rPr>
              <w:t>Gastos extraordinarios en 2022 aceleran la ejecución del gasto</w:t>
            </w:r>
            <w:r>
              <w:rPr>
                <w:noProof/>
                <w:webHidden/>
              </w:rPr>
              <w:tab/>
            </w:r>
            <w:r>
              <w:rPr>
                <w:noProof/>
                <w:webHidden/>
              </w:rPr>
              <w:fldChar w:fldCharType="begin"/>
            </w:r>
            <w:r>
              <w:rPr>
                <w:noProof/>
                <w:webHidden/>
              </w:rPr>
              <w:instrText xml:space="preserve"> PAGEREF _Toc127437686 \h </w:instrText>
            </w:r>
            <w:r>
              <w:rPr>
                <w:noProof/>
                <w:webHidden/>
              </w:rPr>
            </w:r>
            <w:r>
              <w:rPr>
                <w:noProof/>
                <w:webHidden/>
              </w:rPr>
              <w:fldChar w:fldCharType="separate"/>
            </w:r>
            <w:r w:rsidR="00105CC5">
              <w:rPr>
                <w:noProof/>
                <w:webHidden/>
              </w:rPr>
              <w:t>4</w:t>
            </w:r>
            <w:r>
              <w:rPr>
                <w:noProof/>
                <w:webHidden/>
              </w:rPr>
              <w:fldChar w:fldCharType="end"/>
            </w:r>
          </w:hyperlink>
        </w:p>
        <w:p w14:paraId="1420A504" w14:textId="3C9DBBE4" w:rsidR="005E3A61" w:rsidRDefault="005E3A61">
          <w:pPr>
            <w:pStyle w:val="TDC1"/>
            <w:rPr>
              <w:rFonts w:asciiTheme="minorHAnsi" w:eastAsiaTheme="minorEastAsia" w:hAnsiTheme="minorHAnsi" w:cstheme="minorBidi"/>
              <w:b w:val="0"/>
              <w:bCs w:val="0"/>
              <w:szCs w:val="22"/>
              <w:lang w:eastAsia="es-GT"/>
            </w:rPr>
          </w:pPr>
          <w:hyperlink w:anchor="_Toc127437687" w:history="1">
            <w:r w:rsidRPr="00731E45">
              <w:rPr>
                <w:rStyle w:val="Hipervnculo"/>
                <w:lang w:val="es-MX"/>
              </w:rPr>
              <w:t>III.</w:t>
            </w:r>
            <w:r>
              <w:rPr>
                <w:rFonts w:asciiTheme="minorHAnsi" w:eastAsiaTheme="minorEastAsia" w:hAnsiTheme="minorHAnsi" w:cstheme="minorBidi"/>
                <w:b w:val="0"/>
                <w:bCs w:val="0"/>
                <w:szCs w:val="22"/>
                <w:lang w:eastAsia="es-GT"/>
              </w:rPr>
              <w:tab/>
            </w:r>
            <w:r w:rsidRPr="00731E45">
              <w:rPr>
                <w:rStyle w:val="Hipervnculo"/>
                <w:lang w:val="es-MX"/>
              </w:rPr>
              <w:t>Transacciones en Activos No Financieros</w:t>
            </w:r>
            <w:r>
              <w:rPr>
                <w:webHidden/>
              </w:rPr>
              <w:tab/>
            </w:r>
            <w:r>
              <w:rPr>
                <w:webHidden/>
              </w:rPr>
              <w:fldChar w:fldCharType="begin"/>
            </w:r>
            <w:r>
              <w:rPr>
                <w:webHidden/>
              </w:rPr>
              <w:instrText xml:space="preserve"> PAGEREF _Toc127437687 \h </w:instrText>
            </w:r>
            <w:r>
              <w:rPr>
                <w:webHidden/>
              </w:rPr>
            </w:r>
            <w:r>
              <w:rPr>
                <w:webHidden/>
              </w:rPr>
              <w:fldChar w:fldCharType="separate"/>
            </w:r>
            <w:r w:rsidR="00105CC5">
              <w:rPr>
                <w:webHidden/>
              </w:rPr>
              <w:t>6</w:t>
            </w:r>
            <w:r>
              <w:rPr>
                <w:webHidden/>
              </w:rPr>
              <w:fldChar w:fldCharType="end"/>
            </w:r>
          </w:hyperlink>
        </w:p>
        <w:p w14:paraId="43674F76" w14:textId="0463A830" w:rsidR="005E3A61" w:rsidRDefault="005E3A61">
          <w:pPr>
            <w:pStyle w:val="TDC2"/>
            <w:rPr>
              <w:rFonts w:asciiTheme="minorHAnsi" w:hAnsiTheme="minorHAnsi"/>
              <w:noProof/>
              <w:szCs w:val="22"/>
              <w:lang w:eastAsia="es-GT"/>
            </w:rPr>
          </w:pPr>
          <w:hyperlink w:anchor="_Toc127437689" w:history="1">
            <w:r w:rsidRPr="00731E45">
              <w:rPr>
                <w:rStyle w:val="Hipervnculo"/>
                <w:rFonts w:cs="Times New Roman"/>
                <w:noProof/>
              </w:rPr>
              <w:t>3.1</w:t>
            </w:r>
            <w:r>
              <w:rPr>
                <w:rFonts w:asciiTheme="minorHAnsi" w:hAnsiTheme="minorHAnsi"/>
                <w:noProof/>
                <w:szCs w:val="22"/>
                <w:lang w:eastAsia="es-GT"/>
              </w:rPr>
              <w:tab/>
            </w:r>
            <w:r w:rsidRPr="00731E45">
              <w:rPr>
                <w:rStyle w:val="Hipervnculo"/>
                <w:rFonts w:cs="Times New Roman"/>
                <w:noProof/>
              </w:rPr>
              <w:t>La inversión aumento en 2022</w:t>
            </w:r>
            <w:r>
              <w:rPr>
                <w:noProof/>
                <w:webHidden/>
              </w:rPr>
              <w:tab/>
            </w:r>
            <w:r>
              <w:rPr>
                <w:noProof/>
                <w:webHidden/>
              </w:rPr>
              <w:fldChar w:fldCharType="begin"/>
            </w:r>
            <w:r>
              <w:rPr>
                <w:noProof/>
                <w:webHidden/>
              </w:rPr>
              <w:instrText xml:space="preserve"> PAGEREF _Toc127437689 \h </w:instrText>
            </w:r>
            <w:r>
              <w:rPr>
                <w:noProof/>
                <w:webHidden/>
              </w:rPr>
            </w:r>
            <w:r>
              <w:rPr>
                <w:noProof/>
                <w:webHidden/>
              </w:rPr>
              <w:fldChar w:fldCharType="separate"/>
            </w:r>
            <w:r w:rsidR="00105CC5">
              <w:rPr>
                <w:noProof/>
                <w:webHidden/>
              </w:rPr>
              <w:t>6</w:t>
            </w:r>
            <w:r>
              <w:rPr>
                <w:noProof/>
                <w:webHidden/>
              </w:rPr>
              <w:fldChar w:fldCharType="end"/>
            </w:r>
          </w:hyperlink>
        </w:p>
        <w:p w14:paraId="6D6046DE" w14:textId="41384DD0" w:rsidR="005E3A61" w:rsidRDefault="005E3A61">
          <w:pPr>
            <w:pStyle w:val="TDC1"/>
            <w:rPr>
              <w:rFonts w:asciiTheme="minorHAnsi" w:eastAsiaTheme="minorEastAsia" w:hAnsiTheme="minorHAnsi" w:cstheme="minorBidi"/>
              <w:b w:val="0"/>
              <w:bCs w:val="0"/>
              <w:szCs w:val="22"/>
              <w:lang w:eastAsia="es-GT"/>
            </w:rPr>
          </w:pPr>
          <w:hyperlink w:anchor="_Toc127437690" w:history="1">
            <w:r w:rsidRPr="00731E45">
              <w:rPr>
                <w:rStyle w:val="Hipervnculo"/>
                <w:lang w:val="es-MX"/>
              </w:rPr>
              <w:t>IV.</w:t>
            </w:r>
            <w:r>
              <w:rPr>
                <w:rFonts w:asciiTheme="minorHAnsi" w:eastAsiaTheme="minorEastAsia" w:hAnsiTheme="minorHAnsi" w:cstheme="minorBidi"/>
                <w:b w:val="0"/>
                <w:bCs w:val="0"/>
                <w:szCs w:val="22"/>
                <w:lang w:eastAsia="es-GT"/>
              </w:rPr>
              <w:tab/>
            </w:r>
            <w:r w:rsidRPr="00731E45">
              <w:rPr>
                <w:rStyle w:val="Hipervnculo"/>
                <w:lang w:val="es-MX"/>
              </w:rPr>
              <w:t>Financiamiento</w:t>
            </w:r>
            <w:r>
              <w:rPr>
                <w:webHidden/>
              </w:rPr>
              <w:tab/>
            </w:r>
            <w:r>
              <w:rPr>
                <w:webHidden/>
              </w:rPr>
              <w:fldChar w:fldCharType="begin"/>
            </w:r>
            <w:r>
              <w:rPr>
                <w:webHidden/>
              </w:rPr>
              <w:instrText xml:space="preserve"> PAGEREF _Toc127437690 \h </w:instrText>
            </w:r>
            <w:r>
              <w:rPr>
                <w:webHidden/>
              </w:rPr>
            </w:r>
            <w:r>
              <w:rPr>
                <w:webHidden/>
              </w:rPr>
              <w:fldChar w:fldCharType="separate"/>
            </w:r>
            <w:r w:rsidR="00105CC5">
              <w:rPr>
                <w:webHidden/>
              </w:rPr>
              <w:t>7</w:t>
            </w:r>
            <w:r>
              <w:rPr>
                <w:webHidden/>
              </w:rPr>
              <w:fldChar w:fldCharType="end"/>
            </w:r>
          </w:hyperlink>
        </w:p>
        <w:p w14:paraId="218BAD29" w14:textId="395BE451" w:rsidR="005E3A61" w:rsidRDefault="005E3A61">
          <w:pPr>
            <w:pStyle w:val="TDC2"/>
            <w:rPr>
              <w:rFonts w:asciiTheme="minorHAnsi" w:hAnsiTheme="minorHAnsi"/>
              <w:noProof/>
              <w:szCs w:val="22"/>
              <w:lang w:eastAsia="es-GT"/>
            </w:rPr>
          </w:pPr>
          <w:hyperlink w:anchor="_Toc127437692" w:history="1">
            <w:r w:rsidRPr="00731E45">
              <w:rPr>
                <w:rStyle w:val="Hipervnculo"/>
                <w:rFonts w:cs="Times New Roman"/>
                <w:noProof/>
              </w:rPr>
              <w:t>4.1</w:t>
            </w:r>
            <w:r>
              <w:rPr>
                <w:rFonts w:asciiTheme="minorHAnsi" w:hAnsiTheme="minorHAnsi"/>
                <w:noProof/>
                <w:szCs w:val="22"/>
                <w:lang w:eastAsia="es-GT"/>
              </w:rPr>
              <w:tab/>
            </w:r>
            <w:r w:rsidRPr="00731E45">
              <w:rPr>
                <w:rStyle w:val="Hipervnculo"/>
                <w:rFonts w:cs="Times New Roman"/>
                <w:noProof/>
              </w:rPr>
              <w:t>Disminuyeron los activos financieros.</w:t>
            </w:r>
            <w:r>
              <w:rPr>
                <w:noProof/>
                <w:webHidden/>
              </w:rPr>
              <w:tab/>
            </w:r>
            <w:r>
              <w:rPr>
                <w:noProof/>
                <w:webHidden/>
              </w:rPr>
              <w:fldChar w:fldCharType="begin"/>
            </w:r>
            <w:r>
              <w:rPr>
                <w:noProof/>
                <w:webHidden/>
              </w:rPr>
              <w:instrText xml:space="preserve"> PAGEREF _Toc127437692 \h </w:instrText>
            </w:r>
            <w:r>
              <w:rPr>
                <w:noProof/>
                <w:webHidden/>
              </w:rPr>
            </w:r>
            <w:r>
              <w:rPr>
                <w:noProof/>
                <w:webHidden/>
              </w:rPr>
              <w:fldChar w:fldCharType="separate"/>
            </w:r>
            <w:r w:rsidR="00105CC5">
              <w:rPr>
                <w:noProof/>
                <w:webHidden/>
              </w:rPr>
              <w:t>7</w:t>
            </w:r>
            <w:r>
              <w:rPr>
                <w:noProof/>
                <w:webHidden/>
              </w:rPr>
              <w:fldChar w:fldCharType="end"/>
            </w:r>
          </w:hyperlink>
        </w:p>
        <w:p w14:paraId="067EB0C6" w14:textId="26B9DDCA" w:rsidR="005E3A61" w:rsidRDefault="005E3A61">
          <w:pPr>
            <w:pStyle w:val="TDC2"/>
            <w:rPr>
              <w:rFonts w:asciiTheme="minorHAnsi" w:hAnsiTheme="minorHAnsi"/>
              <w:noProof/>
              <w:szCs w:val="22"/>
              <w:lang w:eastAsia="es-GT"/>
            </w:rPr>
          </w:pPr>
          <w:hyperlink w:anchor="_Toc127437693" w:history="1">
            <w:r w:rsidRPr="00731E45">
              <w:rPr>
                <w:rStyle w:val="Hipervnculo"/>
                <w:rFonts w:cs="Times New Roman"/>
                <w:noProof/>
              </w:rPr>
              <w:t>4.2</w:t>
            </w:r>
            <w:r>
              <w:rPr>
                <w:rFonts w:asciiTheme="minorHAnsi" w:hAnsiTheme="minorHAnsi"/>
                <w:noProof/>
                <w:szCs w:val="22"/>
                <w:lang w:eastAsia="es-GT"/>
              </w:rPr>
              <w:tab/>
            </w:r>
            <w:r w:rsidRPr="00731E45">
              <w:rPr>
                <w:rStyle w:val="Hipervnculo"/>
                <w:rFonts w:cs="Times New Roman"/>
                <w:noProof/>
              </w:rPr>
              <w:t>Aumentaron los pasivos</w:t>
            </w:r>
            <w:r>
              <w:rPr>
                <w:noProof/>
                <w:webHidden/>
              </w:rPr>
              <w:tab/>
            </w:r>
            <w:r>
              <w:rPr>
                <w:noProof/>
                <w:webHidden/>
              </w:rPr>
              <w:fldChar w:fldCharType="begin"/>
            </w:r>
            <w:r>
              <w:rPr>
                <w:noProof/>
                <w:webHidden/>
              </w:rPr>
              <w:instrText xml:space="preserve"> PAGEREF _Toc127437693 \h </w:instrText>
            </w:r>
            <w:r>
              <w:rPr>
                <w:noProof/>
                <w:webHidden/>
              </w:rPr>
            </w:r>
            <w:r>
              <w:rPr>
                <w:noProof/>
                <w:webHidden/>
              </w:rPr>
              <w:fldChar w:fldCharType="separate"/>
            </w:r>
            <w:r w:rsidR="00105CC5">
              <w:rPr>
                <w:noProof/>
                <w:webHidden/>
              </w:rPr>
              <w:t>7</w:t>
            </w:r>
            <w:r>
              <w:rPr>
                <w:noProof/>
                <w:webHidden/>
              </w:rPr>
              <w:fldChar w:fldCharType="end"/>
            </w:r>
          </w:hyperlink>
        </w:p>
        <w:p w14:paraId="45505C38" w14:textId="5FDF0D81" w:rsidR="005E3A61" w:rsidRDefault="005E3A61">
          <w:pPr>
            <w:pStyle w:val="TDC1"/>
            <w:rPr>
              <w:rFonts w:asciiTheme="minorHAnsi" w:eastAsiaTheme="minorEastAsia" w:hAnsiTheme="minorHAnsi" w:cstheme="minorBidi"/>
              <w:b w:val="0"/>
              <w:bCs w:val="0"/>
              <w:szCs w:val="22"/>
              <w:lang w:eastAsia="es-GT"/>
            </w:rPr>
          </w:pPr>
          <w:hyperlink w:anchor="_Toc127437694" w:history="1">
            <w:r w:rsidRPr="00731E45">
              <w:rPr>
                <w:rStyle w:val="Hipervnculo"/>
                <w:lang w:val="es-ES_tradnl"/>
              </w:rPr>
              <w:t>V.</w:t>
            </w:r>
            <w:r>
              <w:rPr>
                <w:rFonts w:asciiTheme="minorHAnsi" w:eastAsiaTheme="minorEastAsia" w:hAnsiTheme="minorHAnsi" w:cstheme="minorBidi"/>
                <w:b w:val="0"/>
                <w:bCs w:val="0"/>
                <w:szCs w:val="22"/>
                <w:lang w:eastAsia="es-GT"/>
              </w:rPr>
              <w:tab/>
            </w:r>
            <w:r w:rsidRPr="00731E45">
              <w:rPr>
                <w:rStyle w:val="Hipervnculo"/>
                <w:lang w:val="es-ES_tradnl"/>
              </w:rPr>
              <w:t>Erogaciones del Gobierno Central Presupuestario</w:t>
            </w:r>
            <w:r>
              <w:rPr>
                <w:webHidden/>
              </w:rPr>
              <w:tab/>
            </w:r>
            <w:r>
              <w:rPr>
                <w:webHidden/>
              </w:rPr>
              <w:fldChar w:fldCharType="begin"/>
            </w:r>
            <w:r>
              <w:rPr>
                <w:webHidden/>
              </w:rPr>
              <w:instrText xml:space="preserve"> PAGEREF _Toc127437694 \h </w:instrText>
            </w:r>
            <w:r>
              <w:rPr>
                <w:webHidden/>
              </w:rPr>
            </w:r>
            <w:r>
              <w:rPr>
                <w:webHidden/>
              </w:rPr>
              <w:fldChar w:fldCharType="separate"/>
            </w:r>
            <w:r w:rsidR="00105CC5">
              <w:rPr>
                <w:webHidden/>
              </w:rPr>
              <w:t>8</w:t>
            </w:r>
            <w:r>
              <w:rPr>
                <w:webHidden/>
              </w:rPr>
              <w:fldChar w:fldCharType="end"/>
            </w:r>
          </w:hyperlink>
        </w:p>
        <w:p w14:paraId="36EEA457" w14:textId="63412C3B" w:rsidR="005E3A61" w:rsidRDefault="005E3A61">
          <w:pPr>
            <w:pStyle w:val="TDC2"/>
            <w:rPr>
              <w:rFonts w:asciiTheme="minorHAnsi" w:hAnsiTheme="minorHAnsi"/>
              <w:noProof/>
              <w:szCs w:val="22"/>
              <w:lang w:eastAsia="es-GT"/>
            </w:rPr>
          </w:pPr>
          <w:hyperlink w:anchor="_Toc127437701" w:history="1">
            <w:r w:rsidRPr="00731E45">
              <w:rPr>
                <w:rStyle w:val="Hipervnculo"/>
                <w:rFonts w:cs="Times New Roman"/>
                <w:noProof/>
              </w:rPr>
              <w:t>5.1</w:t>
            </w:r>
            <w:r>
              <w:rPr>
                <w:rFonts w:asciiTheme="minorHAnsi" w:hAnsiTheme="minorHAnsi"/>
                <w:noProof/>
                <w:szCs w:val="22"/>
                <w:lang w:eastAsia="es-GT"/>
              </w:rPr>
              <w:tab/>
            </w:r>
            <w:r w:rsidRPr="00731E45">
              <w:rPr>
                <w:rStyle w:val="Hipervnculo"/>
                <w:rFonts w:cs="Times New Roman"/>
                <w:noProof/>
              </w:rPr>
              <w:t>Las erogaciones por asuntos económicos y educación muestran repunte en su ejecución</w:t>
            </w:r>
            <w:r>
              <w:rPr>
                <w:noProof/>
                <w:webHidden/>
              </w:rPr>
              <w:tab/>
            </w:r>
            <w:r>
              <w:rPr>
                <w:noProof/>
                <w:webHidden/>
              </w:rPr>
              <w:fldChar w:fldCharType="begin"/>
            </w:r>
            <w:r>
              <w:rPr>
                <w:noProof/>
                <w:webHidden/>
              </w:rPr>
              <w:instrText xml:space="preserve"> PAGEREF _Toc127437701 \h </w:instrText>
            </w:r>
            <w:r>
              <w:rPr>
                <w:noProof/>
                <w:webHidden/>
              </w:rPr>
            </w:r>
            <w:r>
              <w:rPr>
                <w:noProof/>
                <w:webHidden/>
              </w:rPr>
              <w:fldChar w:fldCharType="separate"/>
            </w:r>
            <w:r w:rsidR="00105CC5">
              <w:rPr>
                <w:noProof/>
                <w:webHidden/>
              </w:rPr>
              <w:t>8</w:t>
            </w:r>
            <w:r>
              <w:rPr>
                <w:noProof/>
                <w:webHidden/>
              </w:rPr>
              <w:fldChar w:fldCharType="end"/>
            </w:r>
          </w:hyperlink>
        </w:p>
        <w:p w14:paraId="7C2368D5" w14:textId="0EA33188" w:rsidR="005E3A61" w:rsidRDefault="005E3A61">
          <w:pPr>
            <w:pStyle w:val="TDC2"/>
            <w:rPr>
              <w:rFonts w:asciiTheme="minorHAnsi" w:hAnsiTheme="minorHAnsi"/>
              <w:noProof/>
              <w:szCs w:val="22"/>
              <w:lang w:eastAsia="es-GT"/>
            </w:rPr>
          </w:pPr>
          <w:hyperlink w:anchor="_Toc127437702" w:history="1">
            <w:r w:rsidRPr="00731E45">
              <w:rPr>
                <w:rStyle w:val="Hipervnculo"/>
                <w:rFonts w:cs="Times New Roman"/>
                <w:noProof/>
              </w:rPr>
              <w:t>5.2</w:t>
            </w:r>
            <w:r>
              <w:rPr>
                <w:rFonts w:asciiTheme="minorHAnsi" w:hAnsiTheme="minorHAnsi"/>
                <w:noProof/>
                <w:szCs w:val="22"/>
                <w:lang w:eastAsia="es-GT"/>
              </w:rPr>
              <w:tab/>
            </w:r>
            <w:r w:rsidRPr="00731E45">
              <w:rPr>
                <w:rStyle w:val="Hipervnculo"/>
                <w:rFonts w:cs="Times New Roman"/>
                <w:noProof/>
              </w:rPr>
              <w:t>Ejecución institucional</w:t>
            </w:r>
            <w:r>
              <w:rPr>
                <w:noProof/>
                <w:webHidden/>
              </w:rPr>
              <w:tab/>
            </w:r>
            <w:r>
              <w:rPr>
                <w:noProof/>
                <w:webHidden/>
              </w:rPr>
              <w:fldChar w:fldCharType="begin"/>
            </w:r>
            <w:r>
              <w:rPr>
                <w:noProof/>
                <w:webHidden/>
              </w:rPr>
              <w:instrText xml:space="preserve"> PAGEREF _Toc127437702 \h </w:instrText>
            </w:r>
            <w:r>
              <w:rPr>
                <w:noProof/>
                <w:webHidden/>
              </w:rPr>
            </w:r>
            <w:r>
              <w:rPr>
                <w:noProof/>
                <w:webHidden/>
              </w:rPr>
              <w:fldChar w:fldCharType="separate"/>
            </w:r>
            <w:r w:rsidR="00105CC5">
              <w:rPr>
                <w:noProof/>
                <w:webHidden/>
              </w:rPr>
              <w:t>9</w:t>
            </w:r>
            <w:r>
              <w:rPr>
                <w:noProof/>
                <w:webHidden/>
              </w:rPr>
              <w:fldChar w:fldCharType="end"/>
            </w:r>
          </w:hyperlink>
        </w:p>
        <w:p w14:paraId="75799B4D" w14:textId="657F8388" w:rsidR="005E3A61" w:rsidRDefault="005E3A61">
          <w:pPr>
            <w:pStyle w:val="TDC1"/>
            <w:rPr>
              <w:rFonts w:asciiTheme="minorHAnsi" w:eastAsiaTheme="minorEastAsia" w:hAnsiTheme="minorHAnsi" w:cstheme="minorBidi"/>
              <w:b w:val="0"/>
              <w:bCs w:val="0"/>
              <w:szCs w:val="22"/>
              <w:lang w:eastAsia="es-GT"/>
            </w:rPr>
          </w:pPr>
          <w:hyperlink w:anchor="_Toc127437703" w:history="1">
            <w:r w:rsidRPr="00731E45">
              <w:rPr>
                <w:rStyle w:val="Hipervnculo"/>
                <w:lang w:val="es-MX"/>
              </w:rPr>
              <w:t>VI.</w:t>
            </w:r>
            <w:r>
              <w:rPr>
                <w:rFonts w:asciiTheme="minorHAnsi" w:eastAsiaTheme="minorEastAsia" w:hAnsiTheme="minorHAnsi" w:cstheme="minorBidi"/>
                <w:b w:val="0"/>
                <w:bCs w:val="0"/>
                <w:szCs w:val="22"/>
                <w:lang w:eastAsia="es-GT"/>
              </w:rPr>
              <w:tab/>
            </w:r>
            <w:r w:rsidRPr="00731E45">
              <w:rPr>
                <w:rStyle w:val="Hipervnculo"/>
                <w:lang w:val="es-MX"/>
              </w:rPr>
              <w:t>Resultado Fiscal</w:t>
            </w:r>
            <w:r>
              <w:rPr>
                <w:webHidden/>
              </w:rPr>
              <w:tab/>
            </w:r>
            <w:r>
              <w:rPr>
                <w:webHidden/>
              </w:rPr>
              <w:fldChar w:fldCharType="begin"/>
            </w:r>
            <w:r>
              <w:rPr>
                <w:webHidden/>
              </w:rPr>
              <w:instrText xml:space="preserve"> PAGEREF _Toc127437703 \h </w:instrText>
            </w:r>
            <w:r>
              <w:rPr>
                <w:webHidden/>
              </w:rPr>
            </w:r>
            <w:r>
              <w:rPr>
                <w:webHidden/>
              </w:rPr>
              <w:fldChar w:fldCharType="separate"/>
            </w:r>
            <w:r w:rsidR="00105CC5">
              <w:rPr>
                <w:webHidden/>
              </w:rPr>
              <w:t>10</w:t>
            </w:r>
            <w:r>
              <w:rPr>
                <w:webHidden/>
              </w:rPr>
              <w:fldChar w:fldCharType="end"/>
            </w:r>
          </w:hyperlink>
        </w:p>
        <w:p w14:paraId="5547D6C7" w14:textId="7BE41153" w:rsidR="005E3A61" w:rsidRDefault="005E3A61">
          <w:pPr>
            <w:pStyle w:val="TDC2"/>
            <w:rPr>
              <w:rFonts w:asciiTheme="minorHAnsi" w:hAnsiTheme="minorHAnsi"/>
              <w:noProof/>
              <w:szCs w:val="22"/>
              <w:lang w:eastAsia="es-GT"/>
            </w:rPr>
          </w:pPr>
          <w:hyperlink w:anchor="_Toc127437705" w:history="1">
            <w:r w:rsidRPr="00731E45">
              <w:rPr>
                <w:rStyle w:val="Hipervnculo"/>
                <w:rFonts w:cs="Times New Roman"/>
                <w:noProof/>
              </w:rPr>
              <w:t>6.1</w:t>
            </w:r>
            <w:r>
              <w:rPr>
                <w:rFonts w:asciiTheme="minorHAnsi" w:hAnsiTheme="minorHAnsi"/>
                <w:noProof/>
                <w:szCs w:val="22"/>
                <w:lang w:eastAsia="es-GT"/>
              </w:rPr>
              <w:tab/>
            </w:r>
            <w:r w:rsidRPr="00731E45">
              <w:rPr>
                <w:rStyle w:val="Hipervnculo"/>
                <w:rFonts w:cs="Times New Roman"/>
                <w:noProof/>
              </w:rPr>
              <w:t>Resultado Operativo</w:t>
            </w:r>
            <w:r>
              <w:rPr>
                <w:noProof/>
                <w:webHidden/>
              </w:rPr>
              <w:tab/>
            </w:r>
            <w:r>
              <w:rPr>
                <w:noProof/>
                <w:webHidden/>
              </w:rPr>
              <w:fldChar w:fldCharType="begin"/>
            </w:r>
            <w:r>
              <w:rPr>
                <w:noProof/>
                <w:webHidden/>
              </w:rPr>
              <w:instrText xml:space="preserve"> PAGEREF _Toc127437705 \h </w:instrText>
            </w:r>
            <w:r>
              <w:rPr>
                <w:noProof/>
                <w:webHidden/>
              </w:rPr>
            </w:r>
            <w:r>
              <w:rPr>
                <w:noProof/>
                <w:webHidden/>
              </w:rPr>
              <w:fldChar w:fldCharType="separate"/>
            </w:r>
            <w:r w:rsidR="00105CC5">
              <w:rPr>
                <w:noProof/>
                <w:webHidden/>
              </w:rPr>
              <w:t>10</w:t>
            </w:r>
            <w:r>
              <w:rPr>
                <w:noProof/>
                <w:webHidden/>
              </w:rPr>
              <w:fldChar w:fldCharType="end"/>
            </w:r>
          </w:hyperlink>
        </w:p>
        <w:p w14:paraId="4007693C" w14:textId="0E600BC7" w:rsidR="005E3A61" w:rsidRDefault="005E3A61">
          <w:pPr>
            <w:pStyle w:val="TDC2"/>
            <w:rPr>
              <w:rFonts w:asciiTheme="minorHAnsi" w:hAnsiTheme="minorHAnsi"/>
              <w:noProof/>
              <w:szCs w:val="22"/>
              <w:lang w:eastAsia="es-GT"/>
            </w:rPr>
          </w:pPr>
          <w:hyperlink w:anchor="_Toc127437706" w:history="1">
            <w:r w:rsidRPr="00731E45">
              <w:rPr>
                <w:rStyle w:val="Hipervnculo"/>
                <w:rFonts w:cs="Times New Roman"/>
                <w:noProof/>
              </w:rPr>
              <w:t>6.2</w:t>
            </w:r>
            <w:r>
              <w:rPr>
                <w:rFonts w:asciiTheme="minorHAnsi" w:hAnsiTheme="minorHAnsi"/>
                <w:noProof/>
                <w:szCs w:val="22"/>
                <w:lang w:eastAsia="es-GT"/>
              </w:rPr>
              <w:tab/>
            </w:r>
            <w:r w:rsidRPr="00731E45">
              <w:rPr>
                <w:rStyle w:val="Hipervnculo"/>
                <w:rFonts w:cs="Times New Roman"/>
                <w:noProof/>
              </w:rPr>
              <w:t>Endeudamiento Neto</w:t>
            </w:r>
            <w:r>
              <w:rPr>
                <w:noProof/>
                <w:webHidden/>
              </w:rPr>
              <w:tab/>
            </w:r>
            <w:r>
              <w:rPr>
                <w:noProof/>
                <w:webHidden/>
              </w:rPr>
              <w:fldChar w:fldCharType="begin"/>
            </w:r>
            <w:r>
              <w:rPr>
                <w:noProof/>
                <w:webHidden/>
              </w:rPr>
              <w:instrText xml:space="preserve"> PAGEREF _Toc127437706 \h </w:instrText>
            </w:r>
            <w:r>
              <w:rPr>
                <w:noProof/>
                <w:webHidden/>
              </w:rPr>
            </w:r>
            <w:r>
              <w:rPr>
                <w:noProof/>
                <w:webHidden/>
              </w:rPr>
              <w:fldChar w:fldCharType="separate"/>
            </w:r>
            <w:r w:rsidR="00105CC5">
              <w:rPr>
                <w:noProof/>
                <w:webHidden/>
              </w:rPr>
              <w:t>10</w:t>
            </w:r>
            <w:r>
              <w:rPr>
                <w:noProof/>
                <w:webHidden/>
              </w:rPr>
              <w:fldChar w:fldCharType="end"/>
            </w:r>
          </w:hyperlink>
        </w:p>
        <w:p w14:paraId="5BE2AAB0" w14:textId="775CED92" w:rsidR="0032588B" w:rsidRPr="00FC4688" w:rsidRDefault="0032588B" w:rsidP="00CD34D6">
          <w:pPr>
            <w:spacing w:line="276" w:lineRule="auto"/>
            <w:rPr>
              <w:rFonts w:cs="Times New Roman"/>
              <w:color w:val="FF0000"/>
            </w:rPr>
          </w:pPr>
          <w:r w:rsidRPr="00FC4688">
            <w:rPr>
              <w:rFonts w:cs="Times New Roman"/>
              <w:bCs/>
              <w:color w:val="FF0000"/>
              <w:lang w:val="es-ES"/>
            </w:rPr>
            <w:fldChar w:fldCharType="end"/>
          </w:r>
        </w:p>
      </w:sdtContent>
    </w:sdt>
    <w:p w14:paraId="21BB0213" w14:textId="77777777" w:rsidR="006B58E6" w:rsidRPr="00FC4688" w:rsidRDefault="006B58E6" w:rsidP="006B58E6">
      <w:pPr>
        <w:tabs>
          <w:tab w:val="left" w:pos="5490"/>
        </w:tabs>
        <w:spacing w:after="200" w:line="276" w:lineRule="auto"/>
        <w:rPr>
          <w:rFonts w:eastAsiaTheme="majorEastAsia" w:cs="Times New Roman"/>
          <w:b/>
          <w:bCs/>
          <w:szCs w:val="26"/>
        </w:rPr>
      </w:pPr>
      <w:bookmarkStart w:id="3" w:name="_Toc33180541"/>
      <w:r w:rsidRPr="00FC4688">
        <w:rPr>
          <w:rFonts w:eastAsiaTheme="majorEastAsia" w:cs="Times New Roman"/>
          <w:b/>
          <w:bCs/>
          <w:szCs w:val="26"/>
        </w:rPr>
        <w:tab/>
      </w:r>
    </w:p>
    <w:p w14:paraId="1E4B481B" w14:textId="5CF023FB" w:rsidR="0041288C" w:rsidRPr="00FC4688" w:rsidRDefault="0041288C" w:rsidP="006B58E6">
      <w:pPr>
        <w:tabs>
          <w:tab w:val="left" w:pos="5490"/>
        </w:tabs>
        <w:spacing w:after="200" w:line="276" w:lineRule="auto"/>
        <w:rPr>
          <w:rFonts w:eastAsiaTheme="majorEastAsia" w:cs="Times New Roman"/>
          <w:b/>
          <w:bCs/>
          <w:szCs w:val="26"/>
        </w:rPr>
      </w:pPr>
      <w:r w:rsidRPr="00FC4688">
        <w:rPr>
          <w:rFonts w:eastAsiaTheme="majorEastAsia" w:cs="Times New Roman"/>
          <w:szCs w:val="26"/>
        </w:rPr>
        <w:br w:type="page"/>
      </w:r>
    </w:p>
    <w:p w14:paraId="4919E5EF" w14:textId="77777777" w:rsidR="0041288C" w:rsidRPr="00FC4688" w:rsidRDefault="0041288C" w:rsidP="00055D08">
      <w:pPr>
        <w:pStyle w:val="Prrafodelista"/>
        <w:ind w:left="0"/>
        <w:outlineLvl w:val="0"/>
        <w:rPr>
          <w:rFonts w:eastAsiaTheme="majorEastAsia" w:cs="Times New Roman"/>
          <w:b/>
          <w:bCs/>
          <w:sz w:val="24"/>
          <w:szCs w:val="26"/>
          <w:lang w:val="es-ES_tradnl" w:eastAsia="es-ES"/>
        </w:rPr>
      </w:pPr>
      <w:bookmarkStart w:id="4" w:name="_Toc127437674"/>
      <w:r w:rsidRPr="00FC4688">
        <w:rPr>
          <w:rFonts w:eastAsiaTheme="majorEastAsia" w:cs="Times New Roman"/>
          <w:b/>
          <w:bCs/>
          <w:sz w:val="24"/>
          <w:szCs w:val="26"/>
          <w:lang w:val="es-ES_tradnl" w:eastAsia="es-ES"/>
        </w:rPr>
        <w:lastRenderedPageBreak/>
        <w:t>Introducción</w:t>
      </w:r>
      <w:bookmarkEnd w:id="3"/>
      <w:bookmarkEnd w:id="4"/>
    </w:p>
    <w:p w14:paraId="0196EF86" w14:textId="365AD23C" w:rsidR="00974B8B" w:rsidRPr="00FC4688" w:rsidRDefault="0041288C" w:rsidP="00F55D61">
      <w:pPr>
        <w:rPr>
          <w:lang w:val="es-MX"/>
        </w:rPr>
      </w:pPr>
      <w:r w:rsidRPr="00FC4688">
        <w:rPr>
          <w:lang w:val="es-MX"/>
        </w:rPr>
        <w:t xml:space="preserve">A </w:t>
      </w:r>
      <w:r w:rsidR="0060366C" w:rsidRPr="00FC4688">
        <w:rPr>
          <w:lang w:val="es-MX"/>
        </w:rPr>
        <w:t>continuación,</w:t>
      </w:r>
      <w:r w:rsidRPr="00FC4688">
        <w:rPr>
          <w:lang w:val="es-MX"/>
        </w:rPr>
        <w:t xml:space="preserve"> se presenta </w:t>
      </w:r>
      <w:r w:rsidRPr="00FC4688">
        <w:rPr>
          <w:b/>
          <w:bCs/>
          <w:lang w:val="es-MX"/>
        </w:rPr>
        <w:t>el Informe</w:t>
      </w:r>
      <w:r w:rsidR="00445193" w:rsidRPr="00FC4688">
        <w:rPr>
          <w:b/>
          <w:bCs/>
          <w:lang w:val="es-MX"/>
        </w:rPr>
        <w:t xml:space="preserve"> </w:t>
      </w:r>
      <w:r w:rsidR="004D09F5">
        <w:rPr>
          <w:b/>
          <w:bCs/>
          <w:lang w:val="es-MX"/>
        </w:rPr>
        <w:t>Anual</w:t>
      </w:r>
      <w:r w:rsidR="002E2298" w:rsidRPr="00FC4688">
        <w:rPr>
          <w:b/>
          <w:bCs/>
          <w:lang w:val="es-MX"/>
        </w:rPr>
        <w:t xml:space="preserve"> de 202</w:t>
      </w:r>
      <w:r w:rsidR="00F535E9" w:rsidRPr="00FC4688">
        <w:rPr>
          <w:b/>
          <w:bCs/>
          <w:lang w:val="es-MX"/>
        </w:rPr>
        <w:t>2</w:t>
      </w:r>
      <w:r w:rsidR="002E2298" w:rsidRPr="00FC4688">
        <w:rPr>
          <w:lang w:val="es-MX"/>
        </w:rPr>
        <w:t xml:space="preserve">, </w:t>
      </w:r>
      <w:r w:rsidRPr="00FC4688">
        <w:rPr>
          <w:lang w:val="es-MX"/>
        </w:rPr>
        <w:t>sobre l</w:t>
      </w:r>
      <w:r w:rsidR="00D63046" w:rsidRPr="00FC4688">
        <w:rPr>
          <w:lang w:val="es-MX"/>
        </w:rPr>
        <w:t>a ejecución financiera del gobierno central presupuestario sobre la base de las</w:t>
      </w:r>
      <w:r w:rsidRPr="00FC4688">
        <w:rPr>
          <w:lang w:val="es-MX"/>
        </w:rPr>
        <w:t xml:space="preserve"> Estadísticas de las Finanzas Públicas -EFP- el cual contiene los aspectos más relevantes de la evolución de las variables fiscales</w:t>
      </w:r>
      <w:r w:rsidR="00D63046" w:rsidRPr="00FC4688">
        <w:rPr>
          <w:lang w:val="es-MX"/>
        </w:rPr>
        <w:t>, así como las</w:t>
      </w:r>
      <w:r w:rsidR="00AA5C09" w:rsidRPr="00FC4688">
        <w:rPr>
          <w:lang w:val="es-MX"/>
        </w:rPr>
        <w:t xml:space="preserve"> </w:t>
      </w:r>
      <w:r w:rsidRPr="00FC4688">
        <w:rPr>
          <w:lang w:val="es-MX"/>
        </w:rPr>
        <w:t>principales acciones en materia de ingresos, gasto, transacciones en activos y pasivos y las erogaciones por función del Gobierno</w:t>
      </w:r>
      <w:r w:rsidR="004E3572" w:rsidRPr="00FC4688">
        <w:rPr>
          <w:lang w:val="es-MX"/>
        </w:rPr>
        <w:t xml:space="preserve">. </w:t>
      </w:r>
    </w:p>
    <w:p w14:paraId="166F9829" w14:textId="77777777" w:rsidR="00974B8B" w:rsidRPr="00FC4688" w:rsidRDefault="00974B8B" w:rsidP="00F55D61">
      <w:pPr>
        <w:rPr>
          <w:lang w:val="es-MX"/>
        </w:rPr>
      </w:pPr>
    </w:p>
    <w:p w14:paraId="522D2460" w14:textId="77777777" w:rsidR="0041288C" w:rsidRPr="00FC4688" w:rsidRDefault="004E3572" w:rsidP="00F55D61">
      <w:pPr>
        <w:rPr>
          <w:lang w:val="es-MX"/>
        </w:rPr>
      </w:pPr>
      <w:r w:rsidRPr="00FC4688">
        <w:rPr>
          <w:lang w:val="es-MX"/>
        </w:rPr>
        <w:t xml:space="preserve">Cabe mencionar que dicha información utiliza los </w:t>
      </w:r>
      <w:r w:rsidR="005F2296" w:rsidRPr="00FC4688">
        <w:rPr>
          <w:lang w:val="es-MX"/>
        </w:rPr>
        <w:t>estándares internacionales establecidos en el Manual de Estadísticas de las Finanzas Públicas 2014 -MEFP-</w:t>
      </w:r>
      <w:r w:rsidR="00974B8B" w:rsidRPr="00FC4688">
        <w:rPr>
          <w:lang w:val="es-MX"/>
        </w:rPr>
        <w:t xml:space="preserve"> del Fondo Monetario </w:t>
      </w:r>
      <w:r w:rsidR="00F35956" w:rsidRPr="00FC4688">
        <w:rPr>
          <w:lang w:val="es-MX"/>
        </w:rPr>
        <w:t xml:space="preserve">Internacional </w:t>
      </w:r>
      <w:r w:rsidR="0041288C" w:rsidRPr="00FC4688">
        <w:rPr>
          <w:lang w:val="es-MX"/>
        </w:rPr>
        <w:t>-FMI- por lo que existen diferencias en comparación</w:t>
      </w:r>
      <w:r w:rsidR="00774760" w:rsidRPr="00FC4688">
        <w:rPr>
          <w:lang w:val="es-MX"/>
        </w:rPr>
        <w:t xml:space="preserve"> a las cifras que son publicadas </w:t>
      </w:r>
      <w:r w:rsidR="0041288C" w:rsidRPr="00FC4688">
        <w:rPr>
          <w:lang w:val="es-MX"/>
        </w:rPr>
        <w:t>utiliza</w:t>
      </w:r>
      <w:r w:rsidR="00774760" w:rsidRPr="00FC4688">
        <w:rPr>
          <w:lang w:val="es-MX"/>
        </w:rPr>
        <w:t>ndo</w:t>
      </w:r>
      <w:r w:rsidR="0041288C" w:rsidRPr="00FC4688">
        <w:rPr>
          <w:lang w:val="es-MX"/>
        </w:rPr>
        <w:t xml:space="preserve"> la metodología nacional.</w:t>
      </w:r>
      <w:r w:rsidR="00F8714D" w:rsidRPr="00FC4688">
        <w:rPr>
          <w:lang w:val="es-MX"/>
        </w:rPr>
        <w:t xml:space="preserve"> </w:t>
      </w:r>
      <w:r w:rsidR="003D1490" w:rsidRPr="00FC4688">
        <w:rPr>
          <w:lang w:val="es-MX"/>
        </w:rPr>
        <w:t xml:space="preserve">En caso de cualquier </w:t>
      </w:r>
      <w:r w:rsidR="00FA4254" w:rsidRPr="00FC4688">
        <w:rPr>
          <w:lang w:val="es-MX"/>
        </w:rPr>
        <w:t>duda</w:t>
      </w:r>
      <w:r w:rsidR="00E507D9" w:rsidRPr="00FC4688">
        <w:rPr>
          <w:lang w:val="es-MX"/>
        </w:rPr>
        <w:t xml:space="preserve"> sobre estas diferencias</w:t>
      </w:r>
      <w:r w:rsidR="002710C2" w:rsidRPr="00FC4688">
        <w:rPr>
          <w:lang w:val="es-MX"/>
        </w:rPr>
        <w:t xml:space="preserve">, </w:t>
      </w:r>
      <w:r w:rsidR="00723705" w:rsidRPr="00FC4688">
        <w:rPr>
          <w:lang w:val="es-MX"/>
        </w:rPr>
        <w:t xml:space="preserve">se </w:t>
      </w:r>
      <w:r w:rsidR="002710C2" w:rsidRPr="00FC4688">
        <w:rPr>
          <w:lang w:val="es-MX"/>
        </w:rPr>
        <w:t xml:space="preserve">puede consultar los documentos de </w:t>
      </w:r>
      <w:r w:rsidR="00C139AC" w:rsidRPr="00FC4688">
        <w:rPr>
          <w:lang w:val="es-MX"/>
        </w:rPr>
        <w:t>“</w:t>
      </w:r>
      <w:r w:rsidR="002710C2" w:rsidRPr="00FC4688">
        <w:rPr>
          <w:lang w:val="es-MX"/>
        </w:rPr>
        <w:t>Metodología</w:t>
      </w:r>
      <w:r w:rsidR="00C139AC" w:rsidRPr="00FC4688">
        <w:rPr>
          <w:lang w:val="es-MX"/>
        </w:rPr>
        <w:t>”</w:t>
      </w:r>
      <w:r w:rsidR="002710C2" w:rsidRPr="00FC4688">
        <w:rPr>
          <w:lang w:val="es-MX"/>
        </w:rPr>
        <w:t xml:space="preserve"> y de </w:t>
      </w:r>
      <w:r w:rsidR="00C139AC" w:rsidRPr="00FC4688">
        <w:rPr>
          <w:lang w:val="es-MX"/>
        </w:rPr>
        <w:t xml:space="preserve">“Metadatos” </w:t>
      </w:r>
      <w:r w:rsidR="00F42DC5" w:rsidRPr="00FC4688">
        <w:rPr>
          <w:lang w:val="es-MX"/>
        </w:rPr>
        <w:t xml:space="preserve">que se encuentran publicados en </w:t>
      </w:r>
      <w:r w:rsidR="00C923AF" w:rsidRPr="00FC4688">
        <w:rPr>
          <w:lang w:val="es-MX"/>
        </w:rPr>
        <w:t xml:space="preserve">la </w:t>
      </w:r>
      <w:r w:rsidR="00DB2A3F" w:rsidRPr="00FC4688">
        <w:rPr>
          <w:lang w:val="es-MX"/>
        </w:rPr>
        <w:t>página</w:t>
      </w:r>
      <w:r w:rsidR="00F42DC5" w:rsidRPr="00FC4688">
        <w:rPr>
          <w:lang w:val="es-MX"/>
        </w:rPr>
        <w:t xml:space="preserve"> web</w:t>
      </w:r>
      <w:r w:rsidR="00C923AF" w:rsidRPr="00FC4688">
        <w:rPr>
          <w:lang w:val="es-MX"/>
        </w:rPr>
        <w:t xml:space="preserve"> del Ministerio de Finanzas Públicas</w:t>
      </w:r>
      <w:r w:rsidR="00723705" w:rsidRPr="00FC4688">
        <w:rPr>
          <w:lang w:val="es-MX"/>
        </w:rPr>
        <w:t>,</w:t>
      </w:r>
      <w:r w:rsidR="00C923AF" w:rsidRPr="00FC4688">
        <w:rPr>
          <w:lang w:val="es-MX"/>
        </w:rPr>
        <w:t xml:space="preserve"> en la sección de “Estadísticas según Estándares Internacionales”</w:t>
      </w:r>
      <w:r w:rsidR="00F42DC5" w:rsidRPr="00FC4688">
        <w:rPr>
          <w:lang w:val="es-MX"/>
        </w:rPr>
        <w:t>.</w:t>
      </w:r>
    </w:p>
    <w:p w14:paraId="28D96728" w14:textId="77777777" w:rsidR="002B762F" w:rsidRPr="00FC4688" w:rsidRDefault="002B762F" w:rsidP="00F55D61">
      <w:pPr>
        <w:rPr>
          <w:lang w:val="es-MX"/>
        </w:rPr>
      </w:pPr>
    </w:p>
    <w:p w14:paraId="540F5173" w14:textId="5FB11EDC" w:rsidR="00253456" w:rsidRPr="00FC4688" w:rsidRDefault="00253456" w:rsidP="00253456">
      <w:pPr>
        <w:pStyle w:val="Prrafodelista"/>
        <w:ind w:left="0"/>
        <w:outlineLvl w:val="0"/>
        <w:rPr>
          <w:rFonts w:eastAsiaTheme="majorEastAsia" w:cs="Times New Roman"/>
          <w:b/>
          <w:bCs/>
          <w:sz w:val="24"/>
          <w:szCs w:val="26"/>
          <w:lang w:val="es-ES_tradnl" w:eastAsia="es-ES"/>
        </w:rPr>
      </w:pPr>
      <w:bookmarkStart w:id="5" w:name="_Toc98757132"/>
      <w:bookmarkStart w:id="6" w:name="_Toc127437675"/>
      <w:r w:rsidRPr="00FC4688">
        <w:rPr>
          <w:rFonts w:eastAsiaTheme="majorEastAsia" w:cs="Times New Roman"/>
          <w:b/>
          <w:bCs/>
          <w:sz w:val="24"/>
          <w:szCs w:val="26"/>
          <w:lang w:val="es-ES_tradnl" w:eastAsia="es-ES"/>
        </w:rPr>
        <w:t>Cambios Metodológicos 202</w:t>
      </w:r>
      <w:bookmarkEnd w:id="5"/>
      <w:r w:rsidRPr="00FC4688">
        <w:rPr>
          <w:rFonts w:eastAsiaTheme="majorEastAsia" w:cs="Times New Roman"/>
          <w:b/>
          <w:bCs/>
          <w:sz w:val="24"/>
          <w:szCs w:val="26"/>
          <w:lang w:val="es-ES_tradnl" w:eastAsia="es-ES"/>
        </w:rPr>
        <w:t>2</w:t>
      </w:r>
      <w:bookmarkEnd w:id="6"/>
    </w:p>
    <w:p w14:paraId="28EFC57D" w14:textId="234BB075" w:rsidR="00253456" w:rsidRPr="00FC4688" w:rsidRDefault="00E70034" w:rsidP="00253456">
      <w:pPr>
        <w:rPr>
          <w:lang w:val="es-MX"/>
        </w:rPr>
      </w:pPr>
      <w:r w:rsidRPr="00FC4688">
        <w:rPr>
          <w:lang w:val="es-MX"/>
        </w:rPr>
        <w:t>Es oportuno mencionar que el Ministerio de Finanzas Públicas contin</w:t>
      </w:r>
      <w:r w:rsidR="00C817BE">
        <w:rPr>
          <w:lang w:val="es-MX"/>
        </w:rPr>
        <w:t>ú</w:t>
      </w:r>
      <w:r w:rsidRPr="00FC4688">
        <w:rPr>
          <w:lang w:val="es-MX"/>
        </w:rPr>
        <w:t xml:space="preserve">a </w:t>
      </w:r>
      <w:r w:rsidR="001A06FB" w:rsidRPr="00FC4688">
        <w:rPr>
          <w:lang w:val="es-MX"/>
        </w:rPr>
        <w:t xml:space="preserve">con el proceso </w:t>
      </w:r>
      <w:r w:rsidR="00572EEC" w:rsidRPr="00FC4688">
        <w:rPr>
          <w:lang w:val="es-MX"/>
        </w:rPr>
        <w:t xml:space="preserve">de </w:t>
      </w:r>
      <w:r w:rsidR="00253456" w:rsidRPr="00FC4688">
        <w:rPr>
          <w:lang w:val="es-MX"/>
        </w:rPr>
        <w:t>implementación de los estándares internacionales</w:t>
      </w:r>
      <w:r w:rsidRPr="00FC4688">
        <w:rPr>
          <w:lang w:val="es-MX"/>
        </w:rPr>
        <w:t xml:space="preserve"> para la generación </w:t>
      </w:r>
      <w:r w:rsidR="002410AF" w:rsidRPr="00FC4688">
        <w:rPr>
          <w:lang w:val="es-MX"/>
        </w:rPr>
        <w:t>d</w:t>
      </w:r>
      <w:r w:rsidRPr="00FC4688">
        <w:rPr>
          <w:lang w:val="es-MX"/>
        </w:rPr>
        <w:t xml:space="preserve">e las EFP y </w:t>
      </w:r>
      <w:r w:rsidR="00253456" w:rsidRPr="00FC4688">
        <w:rPr>
          <w:lang w:val="es-MX"/>
        </w:rPr>
        <w:t xml:space="preserve">con el fin de fortalecer </w:t>
      </w:r>
      <w:r w:rsidR="00572EEC" w:rsidRPr="00FC4688">
        <w:rPr>
          <w:lang w:val="es-MX"/>
        </w:rPr>
        <w:t xml:space="preserve">a </w:t>
      </w:r>
      <w:r w:rsidR="00253456" w:rsidRPr="00FC4688">
        <w:rPr>
          <w:lang w:val="es-MX"/>
        </w:rPr>
        <w:t xml:space="preserve">las </w:t>
      </w:r>
      <w:r w:rsidRPr="00FC4688">
        <w:rPr>
          <w:lang w:val="es-MX"/>
        </w:rPr>
        <w:t>mismas</w:t>
      </w:r>
      <w:r w:rsidR="000B5A6C" w:rsidRPr="00FC4688">
        <w:rPr>
          <w:lang w:val="es-MX"/>
        </w:rPr>
        <w:t>,</w:t>
      </w:r>
      <w:r w:rsidR="00253456" w:rsidRPr="00FC4688">
        <w:rPr>
          <w:lang w:val="es-MX"/>
        </w:rPr>
        <w:t xml:space="preserve"> </w:t>
      </w:r>
      <w:r w:rsidR="001A06FB" w:rsidRPr="00FC4688">
        <w:rPr>
          <w:lang w:val="es-MX"/>
        </w:rPr>
        <w:t xml:space="preserve">se cuenta con </w:t>
      </w:r>
      <w:r w:rsidR="00253456" w:rsidRPr="00FC4688">
        <w:rPr>
          <w:lang w:val="es-MX"/>
        </w:rPr>
        <w:t xml:space="preserve">el apoyo y supervisión del Centro Regional de Asistencia Técnica del FMI para Centroamérica, Panamá y la República Dominicana </w:t>
      </w:r>
      <w:r w:rsidR="001A06FB" w:rsidRPr="00FC4688">
        <w:rPr>
          <w:lang w:val="es-MX"/>
        </w:rPr>
        <w:t>-</w:t>
      </w:r>
      <w:r w:rsidR="00253456" w:rsidRPr="00FC4688">
        <w:rPr>
          <w:lang w:val="es-MX"/>
        </w:rPr>
        <w:t>CAPTAC-DR</w:t>
      </w:r>
      <w:r w:rsidR="001A06FB" w:rsidRPr="00FC4688">
        <w:rPr>
          <w:lang w:val="es-MX"/>
        </w:rPr>
        <w:t>-</w:t>
      </w:r>
      <w:r w:rsidR="000B5A6C" w:rsidRPr="00FC4688">
        <w:rPr>
          <w:lang w:val="es-MX"/>
        </w:rPr>
        <w:t xml:space="preserve">. En este sentido, cabe mencionar que </w:t>
      </w:r>
      <w:r w:rsidR="00195129" w:rsidRPr="00FC4688">
        <w:rPr>
          <w:lang w:val="es-MX"/>
        </w:rPr>
        <w:t xml:space="preserve">en septiembre </w:t>
      </w:r>
      <w:r w:rsidR="006C3998">
        <w:rPr>
          <w:lang w:val="es-MX"/>
        </w:rPr>
        <w:t>de 2022</w:t>
      </w:r>
      <w:r w:rsidR="00195129" w:rsidRPr="00FC4688">
        <w:rPr>
          <w:lang w:val="es-MX"/>
        </w:rPr>
        <w:t xml:space="preserve"> se llevaron a cabo actualizaciones metodológicas importantes</w:t>
      </w:r>
      <w:r w:rsidR="00253456" w:rsidRPr="00FC4688">
        <w:rPr>
          <w:lang w:val="es-MX"/>
        </w:rPr>
        <w:t xml:space="preserve">, por lo que el presente documento cuenta con algunas diferencias en las cifras históricas respecto a los informes trimestrales </w:t>
      </w:r>
      <w:r w:rsidR="008F297B" w:rsidRPr="00FC4688">
        <w:rPr>
          <w:lang w:val="es-MX"/>
        </w:rPr>
        <w:t>anteriores</w:t>
      </w:r>
      <w:r w:rsidR="00253456" w:rsidRPr="00FC4688">
        <w:rPr>
          <w:lang w:val="es-MX"/>
        </w:rPr>
        <w:t>.</w:t>
      </w:r>
      <w:r w:rsidR="00195129" w:rsidRPr="00FC4688">
        <w:rPr>
          <w:lang w:val="es-MX"/>
        </w:rPr>
        <w:t xml:space="preserve"> Para </w:t>
      </w:r>
      <w:r w:rsidR="00572EEC" w:rsidRPr="00FC4688">
        <w:rPr>
          <w:lang w:val="es-MX"/>
        </w:rPr>
        <w:t>más información</w:t>
      </w:r>
      <w:r w:rsidR="00195129" w:rsidRPr="00FC4688">
        <w:rPr>
          <w:lang w:val="es-MX"/>
        </w:rPr>
        <w:t xml:space="preserve"> sobre los cambio</w:t>
      </w:r>
      <w:r w:rsidR="004F7DBA" w:rsidRPr="00FC4688">
        <w:rPr>
          <w:lang w:val="es-MX"/>
        </w:rPr>
        <w:t>s realizados, se recomienda revisar el documento de metodología y de metadato que se encuentra</w:t>
      </w:r>
      <w:r w:rsidR="00572EEC" w:rsidRPr="00FC4688">
        <w:rPr>
          <w:lang w:val="es-MX"/>
        </w:rPr>
        <w:t>n</w:t>
      </w:r>
      <w:r w:rsidR="004F7DBA" w:rsidRPr="00FC4688">
        <w:rPr>
          <w:lang w:val="es-MX"/>
        </w:rPr>
        <w:t xml:space="preserve"> disponible</w:t>
      </w:r>
      <w:r w:rsidR="00572EEC" w:rsidRPr="00FC4688">
        <w:rPr>
          <w:lang w:val="es-MX"/>
        </w:rPr>
        <w:t>s</w:t>
      </w:r>
      <w:r w:rsidR="004F7DBA" w:rsidRPr="00FC4688">
        <w:rPr>
          <w:lang w:val="es-MX"/>
        </w:rPr>
        <w:t xml:space="preserve"> en </w:t>
      </w:r>
      <w:r w:rsidR="00B97246" w:rsidRPr="00FC4688">
        <w:rPr>
          <w:lang w:val="es-MX"/>
        </w:rPr>
        <w:t>el apartado</w:t>
      </w:r>
      <w:r w:rsidR="00FF5A1A" w:rsidRPr="00FC4688">
        <w:rPr>
          <w:lang w:val="es-MX"/>
        </w:rPr>
        <w:t xml:space="preserve"> de Estadísticas según Estándares Internacionales</w:t>
      </w:r>
      <w:r w:rsidR="00B97246" w:rsidRPr="00FC4688">
        <w:rPr>
          <w:lang w:val="es-MX"/>
        </w:rPr>
        <w:t xml:space="preserve"> del portal del Ministerio de Finanzas Públicas</w:t>
      </w:r>
      <w:r w:rsidR="008F297B" w:rsidRPr="00FC4688">
        <w:rPr>
          <w:lang w:val="es-MX"/>
        </w:rPr>
        <w:t>.</w:t>
      </w:r>
    </w:p>
    <w:p w14:paraId="6E9635B5" w14:textId="77777777" w:rsidR="00253456" w:rsidRPr="00FC4688" w:rsidRDefault="00253456" w:rsidP="00F55D61">
      <w:pPr>
        <w:rPr>
          <w:lang w:val="es-MX"/>
        </w:rPr>
      </w:pPr>
    </w:p>
    <w:p w14:paraId="37573775" w14:textId="77777777" w:rsidR="00E66A98" w:rsidRPr="00FC4688"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7" w:name="_Toc127437676"/>
      <w:bookmarkEnd w:id="1"/>
      <w:bookmarkEnd w:id="2"/>
      <w:r w:rsidRPr="00FC4688">
        <w:rPr>
          <w:rFonts w:eastAsiaTheme="majorEastAsia" w:cs="Times New Roman"/>
          <w:b/>
          <w:bCs/>
          <w:sz w:val="24"/>
          <w:szCs w:val="26"/>
          <w:lang w:val="es-ES_tradnl" w:eastAsia="es-ES"/>
        </w:rPr>
        <w:t>Ingresos</w:t>
      </w:r>
      <w:r w:rsidR="00E66A98" w:rsidRPr="00FC4688">
        <w:rPr>
          <w:rFonts w:eastAsiaTheme="majorEastAsia" w:cs="Times New Roman"/>
          <w:b/>
          <w:bCs/>
          <w:sz w:val="24"/>
          <w:szCs w:val="26"/>
          <w:lang w:val="es-ES_tradnl" w:eastAsia="es-ES"/>
        </w:rPr>
        <w:t xml:space="preserve"> </w:t>
      </w:r>
      <w:r w:rsidR="00301F9F" w:rsidRPr="00FC4688">
        <w:rPr>
          <w:rFonts w:eastAsiaTheme="majorEastAsia" w:cs="Times New Roman"/>
          <w:b/>
          <w:bCs/>
          <w:sz w:val="24"/>
          <w:szCs w:val="26"/>
          <w:lang w:val="es-ES_tradnl" w:eastAsia="es-ES"/>
        </w:rPr>
        <w:t>del Gobierno Central Presupuestario</w:t>
      </w:r>
      <w:bookmarkEnd w:id="7"/>
    </w:p>
    <w:p w14:paraId="27F759C0" w14:textId="4E03F058" w:rsidR="00E66A98" w:rsidRPr="00FC4688" w:rsidRDefault="00DB2C33" w:rsidP="002C3755">
      <w:pPr>
        <w:rPr>
          <w:rFonts w:eastAsiaTheme="majorEastAsia"/>
          <w:lang w:val="es-ES_tradnl"/>
        </w:rPr>
      </w:pPr>
      <w:r w:rsidRPr="00FC4688">
        <w:rPr>
          <w:rFonts w:eastAsiaTheme="majorEastAsia"/>
          <w:noProof/>
          <w:lang w:eastAsia="es-GT"/>
        </w:rPr>
        <w:drawing>
          <wp:inline distT="0" distB="0" distL="0" distR="0" wp14:anchorId="2394B235" wp14:editId="3DB1E959">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8" w:name="_Toc471986924"/>
      <w:bookmarkStart w:id="9" w:name="_Toc471987059"/>
      <w:bookmarkStart w:id="10" w:name="_Toc471987107"/>
      <w:bookmarkStart w:id="11" w:name="_Toc471987129"/>
      <w:bookmarkStart w:id="12" w:name="_Toc472082158"/>
      <w:bookmarkStart w:id="13" w:name="_Toc472082190"/>
      <w:bookmarkStart w:id="14" w:name="_Toc472089905"/>
      <w:bookmarkStart w:id="15" w:name="_Toc472089928"/>
      <w:bookmarkStart w:id="16" w:name="_Toc505346056"/>
      <w:bookmarkStart w:id="17" w:name="_Toc505349869"/>
      <w:bookmarkStart w:id="18" w:name="_Toc534985827"/>
      <w:bookmarkStart w:id="19" w:name="_Toc534988220"/>
      <w:bookmarkStart w:id="20" w:name="_Toc31611540"/>
      <w:bookmarkStart w:id="21" w:name="_Toc31612756"/>
      <w:bookmarkStart w:id="22" w:name="_Toc31612788"/>
      <w:bookmarkStart w:id="23" w:name="_Toc31614814"/>
      <w:bookmarkStart w:id="24" w:name="_Toc31614846"/>
      <w:bookmarkStart w:id="25" w:name="_Toc31618683"/>
      <w:bookmarkStart w:id="26" w:name="_Toc31618716"/>
      <w:bookmarkStart w:id="27" w:name="_Toc31624492"/>
      <w:bookmarkStart w:id="28" w:name="_Toc31625344"/>
      <w:bookmarkStart w:id="29" w:name="_Toc31626799"/>
      <w:bookmarkStart w:id="30" w:name="_Toc31811250"/>
      <w:bookmarkStart w:id="31" w:name="_Toc31811695"/>
      <w:bookmarkStart w:id="32" w:name="_Toc31971858"/>
      <w:bookmarkStart w:id="33" w:name="_Toc32230880"/>
      <w:bookmarkStart w:id="34" w:name="_Toc33109779"/>
      <w:bookmarkStart w:id="35" w:name="_Toc33109822"/>
      <w:bookmarkStart w:id="36" w:name="_Toc33180543"/>
      <w:bookmarkStart w:id="37" w:name="_Toc33180637"/>
      <w:bookmarkStart w:id="38" w:name="_Toc33193534"/>
      <w:bookmarkStart w:id="39" w:name="_Toc33193573"/>
      <w:bookmarkStart w:id="40" w:name="_Toc33196770"/>
      <w:bookmarkStart w:id="41" w:name="_Toc40691746"/>
      <w:bookmarkStart w:id="42" w:name="_Toc40959149"/>
      <w:bookmarkStart w:id="43" w:name="_Toc40975983"/>
      <w:bookmarkStart w:id="44" w:name="_Toc40976052"/>
      <w:bookmarkStart w:id="45" w:name="_Toc40993307"/>
      <w:bookmarkStart w:id="46" w:name="_Toc40993689"/>
      <w:bookmarkStart w:id="47" w:name="_Toc4103756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73AD0D9" w14:textId="27B45851" w:rsidR="00E66A98" w:rsidRPr="00FC4688" w:rsidRDefault="004D09F5"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8" w:name="_Toc127437677"/>
      <w:r>
        <w:rPr>
          <w:rFonts w:ascii="Times New Roman" w:hAnsi="Times New Roman" w:cs="Times New Roman"/>
          <w:color w:val="auto"/>
          <w:sz w:val="24"/>
        </w:rPr>
        <w:t>Aumentó el dinamismo en los</w:t>
      </w:r>
      <w:r w:rsidR="00606599">
        <w:rPr>
          <w:rFonts w:ascii="Times New Roman" w:hAnsi="Times New Roman" w:cs="Times New Roman"/>
          <w:color w:val="auto"/>
          <w:sz w:val="24"/>
        </w:rPr>
        <w:t xml:space="preserve"> ingresos </w:t>
      </w:r>
      <w:r>
        <w:rPr>
          <w:rFonts w:ascii="Times New Roman" w:hAnsi="Times New Roman" w:cs="Times New Roman"/>
          <w:color w:val="auto"/>
          <w:sz w:val="24"/>
        </w:rPr>
        <w:t>fiscales</w:t>
      </w:r>
      <w:bookmarkEnd w:id="48"/>
      <w:r>
        <w:rPr>
          <w:rFonts w:ascii="Times New Roman" w:hAnsi="Times New Roman" w:cs="Times New Roman"/>
          <w:color w:val="auto"/>
          <w:sz w:val="24"/>
        </w:rPr>
        <w:t xml:space="preserve"> </w:t>
      </w:r>
    </w:p>
    <w:p w14:paraId="2D047FDC" w14:textId="5CFF00DA" w:rsidR="004A5B1A" w:rsidRDefault="007C1C58" w:rsidP="00960F3C">
      <w:pPr>
        <w:rPr>
          <w:rFonts w:cs="Times New Roman"/>
          <w:szCs w:val="22"/>
        </w:rPr>
      </w:pPr>
      <w:r w:rsidRPr="00FC4688">
        <w:rPr>
          <w:rFonts w:cs="Times New Roman"/>
          <w:noProof/>
          <w:sz w:val="24"/>
          <w:lang w:eastAsia="es-GT"/>
        </w:rPr>
        <w:drawing>
          <wp:anchor distT="0" distB="0" distL="114300" distR="114300" simplePos="0" relativeHeight="251660292" behindDoc="0" locked="0" layoutInCell="1" allowOverlap="1" wp14:anchorId="0E488811" wp14:editId="3D818E4D">
            <wp:simplePos x="0" y="0"/>
            <wp:positionH relativeFrom="column">
              <wp:posOffset>138430</wp:posOffset>
            </wp:positionH>
            <wp:positionV relativeFrom="paragraph">
              <wp:posOffset>808990</wp:posOffset>
            </wp:positionV>
            <wp:extent cx="5864860" cy="1913890"/>
            <wp:effectExtent l="0" t="0" r="2540" b="1016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D2C62">
        <w:rPr>
          <w:rFonts w:cs="Times New Roman"/>
          <w:szCs w:val="22"/>
        </w:rPr>
        <w:t>Al finalizar el 2022, los ingresos totales preliminares</w:t>
      </w:r>
      <w:r>
        <w:rPr>
          <w:rFonts w:cs="Times New Roman"/>
          <w:szCs w:val="22"/>
        </w:rPr>
        <w:t xml:space="preserve"> del Gobierno Central Presupuestario </w:t>
      </w:r>
      <w:r w:rsidRPr="00FC4688">
        <w:rPr>
          <w:rFonts w:cs="Times New Roman"/>
          <w:szCs w:val="22"/>
        </w:rPr>
        <w:t>se</w:t>
      </w:r>
      <w:r w:rsidR="003B270F">
        <w:rPr>
          <w:rFonts w:cs="Times New Roman"/>
          <w:szCs w:val="22"/>
        </w:rPr>
        <w:t xml:space="preserve"> sitúan en </w:t>
      </w:r>
      <w:r w:rsidR="000245CA" w:rsidRPr="00FC4688">
        <w:rPr>
          <w:rFonts w:cs="Times New Roman"/>
          <w:szCs w:val="22"/>
        </w:rPr>
        <w:t>Q</w:t>
      </w:r>
      <w:r w:rsidR="003B270F" w:rsidRPr="003B270F">
        <w:rPr>
          <w:rFonts w:cs="Times New Roman"/>
          <w:szCs w:val="22"/>
        </w:rPr>
        <w:t>95,25</w:t>
      </w:r>
      <w:r w:rsidR="00076794">
        <w:rPr>
          <w:rFonts w:cs="Times New Roman"/>
          <w:szCs w:val="22"/>
        </w:rPr>
        <w:t>6</w:t>
      </w:r>
      <w:r w:rsidR="003B270F" w:rsidRPr="003B270F">
        <w:rPr>
          <w:rFonts w:cs="Times New Roman"/>
          <w:szCs w:val="22"/>
        </w:rPr>
        <w:t>.</w:t>
      </w:r>
      <w:r w:rsidR="0031577B">
        <w:rPr>
          <w:rFonts w:cs="Times New Roman"/>
          <w:szCs w:val="22"/>
        </w:rPr>
        <w:t xml:space="preserve">4 </w:t>
      </w:r>
      <w:r w:rsidR="000245CA" w:rsidRPr="00FC4688">
        <w:rPr>
          <w:rFonts w:cs="Times New Roman"/>
          <w:szCs w:val="22"/>
        </w:rPr>
        <w:t>millones</w:t>
      </w:r>
      <w:r w:rsidR="003B270F">
        <w:rPr>
          <w:rFonts w:cs="Times New Roman"/>
          <w:szCs w:val="22"/>
        </w:rPr>
        <w:t xml:space="preserve"> y esto </w:t>
      </w:r>
      <w:r w:rsidR="00F3382E">
        <w:rPr>
          <w:rFonts w:cs="Times New Roman"/>
          <w:szCs w:val="22"/>
        </w:rPr>
        <w:t>equivale a</w:t>
      </w:r>
      <w:r w:rsidR="003B270F">
        <w:rPr>
          <w:rFonts w:cs="Times New Roman"/>
          <w:szCs w:val="22"/>
        </w:rPr>
        <w:t xml:space="preserve"> un crecimiento del 12</w:t>
      </w:r>
      <w:r w:rsidR="000245CA" w:rsidRPr="00FC4688">
        <w:rPr>
          <w:rFonts w:cs="Times New Roman"/>
          <w:szCs w:val="22"/>
        </w:rPr>
        <w:t>.</w:t>
      </w:r>
      <w:r w:rsidR="003B270F">
        <w:rPr>
          <w:rFonts w:cs="Times New Roman"/>
          <w:szCs w:val="22"/>
        </w:rPr>
        <w:t>9</w:t>
      </w:r>
      <w:r w:rsidR="000245CA" w:rsidRPr="00FC4688">
        <w:rPr>
          <w:rFonts w:cs="Times New Roman"/>
          <w:szCs w:val="22"/>
        </w:rPr>
        <w:t>% (Q</w:t>
      </w:r>
      <w:r w:rsidR="003B270F" w:rsidRPr="003B270F">
        <w:rPr>
          <w:rFonts w:cs="Times New Roman"/>
          <w:szCs w:val="22"/>
        </w:rPr>
        <w:t>10,89</w:t>
      </w:r>
      <w:r w:rsidR="0031577B">
        <w:rPr>
          <w:rFonts w:cs="Times New Roman"/>
          <w:szCs w:val="22"/>
        </w:rPr>
        <w:t>5</w:t>
      </w:r>
      <w:r w:rsidR="003B270F" w:rsidRPr="003B270F">
        <w:rPr>
          <w:rFonts w:cs="Times New Roman"/>
          <w:szCs w:val="22"/>
        </w:rPr>
        <w:t>.</w:t>
      </w:r>
      <w:r w:rsidR="0031577B">
        <w:rPr>
          <w:rFonts w:cs="Times New Roman"/>
          <w:szCs w:val="22"/>
        </w:rPr>
        <w:t>9</w:t>
      </w:r>
      <w:r w:rsidR="000245CA" w:rsidRPr="00FC4688">
        <w:rPr>
          <w:rFonts w:cs="Times New Roman"/>
          <w:szCs w:val="22"/>
        </w:rPr>
        <w:t xml:space="preserve"> millones) respecto al mismo período del año </w:t>
      </w:r>
      <w:r w:rsidR="003B729A">
        <w:rPr>
          <w:rFonts w:cs="Times New Roman"/>
          <w:szCs w:val="22"/>
        </w:rPr>
        <w:t>anterior</w:t>
      </w:r>
      <w:r w:rsidR="00A71BF6">
        <w:rPr>
          <w:rFonts w:cs="Times New Roman"/>
          <w:szCs w:val="22"/>
        </w:rPr>
        <w:t>,</w:t>
      </w:r>
      <w:r w:rsidR="003B729A">
        <w:rPr>
          <w:rFonts w:cs="Times New Roman"/>
          <w:szCs w:val="22"/>
        </w:rPr>
        <w:t xml:space="preserve"> continuando de esta manera con el buen dinamismo que </w:t>
      </w:r>
      <w:r w:rsidR="004A5B1A">
        <w:rPr>
          <w:rFonts w:cs="Times New Roman"/>
          <w:szCs w:val="22"/>
        </w:rPr>
        <w:t>se</w:t>
      </w:r>
      <w:r w:rsidR="006C60D0">
        <w:rPr>
          <w:rFonts w:cs="Times New Roman"/>
          <w:szCs w:val="22"/>
        </w:rPr>
        <w:t xml:space="preserve"> estuvo</w:t>
      </w:r>
      <w:r w:rsidR="003B729A">
        <w:rPr>
          <w:rFonts w:cs="Times New Roman"/>
          <w:szCs w:val="22"/>
        </w:rPr>
        <w:t xml:space="preserve"> observando desde </w:t>
      </w:r>
      <w:r w:rsidR="006C60D0">
        <w:rPr>
          <w:rFonts w:cs="Times New Roman"/>
          <w:szCs w:val="22"/>
        </w:rPr>
        <w:t>inicios del</w:t>
      </w:r>
      <w:r w:rsidR="004A5B1A">
        <w:rPr>
          <w:rFonts w:cs="Times New Roman"/>
          <w:szCs w:val="22"/>
        </w:rPr>
        <w:t xml:space="preserve"> añ</w:t>
      </w:r>
      <w:r w:rsidR="0097701A">
        <w:rPr>
          <w:rFonts w:cs="Times New Roman"/>
          <w:szCs w:val="22"/>
        </w:rPr>
        <w:t>o</w:t>
      </w:r>
      <w:r w:rsidR="009D16ED">
        <w:rPr>
          <w:rFonts w:cs="Times New Roman"/>
          <w:szCs w:val="22"/>
        </w:rPr>
        <w:t xml:space="preserve"> y</w:t>
      </w:r>
      <w:r w:rsidR="0097701A">
        <w:rPr>
          <w:rFonts w:cs="Times New Roman"/>
          <w:szCs w:val="22"/>
        </w:rPr>
        <w:t>,</w:t>
      </w:r>
      <w:r w:rsidR="009D16ED">
        <w:rPr>
          <w:rFonts w:cs="Times New Roman"/>
          <w:szCs w:val="22"/>
        </w:rPr>
        <w:t xml:space="preserve"> </w:t>
      </w:r>
      <w:r w:rsidR="004D09F5">
        <w:rPr>
          <w:rFonts w:cs="Times New Roman"/>
          <w:szCs w:val="22"/>
        </w:rPr>
        <w:t>atribuido</w:t>
      </w:r>
      <w:r w:rsidR="0097701A">
        <w:rPr>
          <w:rFonts w:cs="Times New Roman"/>
          <w:szCs w:val="22"/>
        </w:rPr>
        <w:t xml:space="preserve"> </w:t>
      </w:r>
      <w:r w:rsidR="00F3382E">
        <w:rPr>
          <w:rFonts w:cs="Times New Roman"/>
          <w:szCs w:val="22"/>
        </w:rPr>
        <w:t>principalmente</w:t>
      </w:r>
      <w:r w:rsidR="00C26E49">
        <w:rPr>
          <w:rFonts w:cs="Times New Roman"/>
          <w:szCs w:val="22"/>
        </w:rPr>
        <w:t xml:space="preserve"> </w:t>
      </w:r>
      <w:r w:rsidR="008B73FA">
        <w:rPr>
          <w:rFonts w:cs="Times New Roman"/>
          <w:szCs w:val="22"/>
        </w:rPr>
        <w:t>al buen</w:t>
      </w:r>
      <w:r w:rsidR="009D16ED">
        <w:rPr>
          <w:rFonts w:cs="Times New Roman"/>
          <w:szCs w:val="22"/>
        </w:rPr>
        <w:t xml:space="preserve"> </w:t>
      </w:r>
      <w:r w:rsidR="00C26E49">
        <w:rPr>
          <w:rFonts w:cs="Times New Roman"/>
          <w:szCs w:val="22"/>
        </w:rPr>
        <w:t xml:space="preserve">comportamiento de la actividad </w:t>
      </w:r>
      <w:r w:rsidR="000B3E87">
        <w:rPr>
          <w:rFonts w:cs="Times New Roman"/>
          <w:szCs w:val="22"/>
        </w:rPr>
        <w:t>económica</w:t>
      </w:r>
      <w:r w:rsidR="002C43F6">
        <w:rPr>
          <w:rFonts w:cs="Times New Roman"/>
          <w:szCs w:val="22"/>
        </w:rPr>
        <w:t xml:space="preserve"> y su efecto en la recaudación tributaria</w:t>
      </w:r>
      <w:r w:rsidR="000B3E87">
        <w:rPr>
          <w:rFonts w:cs="Times New Roman"/>
          <w:szCs w:val="22"/>
        </w:rPr>
        <w:t>.</w:t>
      </w:r>
    </w:p>
    <w:p w14:paraId="3C8D73F7" w14:textId="79C508A9" w:rsidR="00D550B4" w:rsidRPr="00FC4688" w:rsidRDefault="00D550B4" w:rsidP="000245CA">
      <w:pPr>
        <w:rPr>
          <w:rFonts w:cs="Times New Roman"/>
          <w:szCs w:val="22"/>
        </w:rPr>
      </w:pPr>
      <w:r w:rsidRPr="00FC4688">
        <w:rPr>
          <w:noProof/>
          <w:lang w:eastAsia="es-GT"/>
        </w:rPr>
        <w:lastRenderedPageBreak/>
        <w:drawing>
          <wp:inline distT="0" distB="0" distL="0" distR="0" wp14:anchorId="0B894B39" wp14:editId="762DEBF6">
            <wp:extent cx="5971540" cy="1711234"/>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69E6E" w14:textId="77777777" w:rsidR="00D550B4" w:rsidRPr="00FC4688" w:rsidRDefault="00D550B4" w:rsidP="00672DC7">
      <w:pPr>
        <w:pStyle w:val="Prrafodelista"/>
        <w:ind w:left="0"/>
        <w:jc w:val="right"/>
      </w:pPr>
      <w:r w:rsidRPr="00FC4688">
        <w:t>*Cifras preliminares</w:t>
      </w:r>
    </w:p>
    <w:p w14:paraId="28189151" w14:textId="7E747C45" w:rsidR="00D550B4" w:rsidRPr="00FC4688" w:rsidRDefault="00D550B4" w:rsidP="00672DC7">
      <w:pPr>
        <w:pStyle w:val="Prrafodelista"/>
        <w:ind w:left="0"/>
        <w:jc w:val="right"/>
      </w:pPr>
      <w:r w:rsidRPr="00FC4688">
        <w:t xml:space="preserve"> Fuente: MINFIN</w:t>
      </w:r>
    </w:p>
    <w:p w14:paraId="7B785F6C" w14:textId="3A59AB88" w:rsidR="002E7740" w:rsidRPr="00FC4688" w:rsidRDefault="004D09F5" w:rsidP="002E7740">
      <w:pPr>
        <w:pStyle w:val="Ttulo2"/>
        <w:numPr>
          <w:ilvl w:val="1"/>
          <w:numId w:val="11"/>
        </w:numPr>
        <w:tabs>
          <w:tab w:val="left" w:pos="426"/>
        </w:tabs>
        <w:spacing w:before="0"/>
        <w:ind w:left="284" w:hanging="284"/>
        <w:rPr>
          <w:rFonts w:ascii="Times New Roman" w:hAnsi="Times New Roman" w:cs="Times New Roman"/>
          <w:color w:val="auto"/>
          <w:sz w:val="24"/>
        </w:rPr>
      </w:pPr>
      <w:bookmarkStart w:id="49" w:name="_Toc127437678"/>
      <w:r>
        <w:rPr>
          <w:rFonts w:ascii="Times New Roman" w:hAnsi="Times New Roman" w:cs="Times New Roman"/>
          <w:color w:val="auto"/>
          <w:sz w:val="24"/>
        </w:rPr>
        <w:t>La recaudación de impuestos mostró un repunte</w:t>
      </w:r>
      <w:bookmarkEnd w:id="49"/>
    </w:p>
    <w:p w14:paraId="74E4D1D2" w14:textId="63D0948D" w:rsidR="00273108" w:rsidRPr="00FC4688" w:rsidRDefault="00CF52A7" w:rsidP="00B304F3">
      <w:pPr>
        <w:pStyle w:val="Prrafodelista"/>
        <w:ind w:left="0"/>
        <w:rPr>
          <w:sz w:val="22"/>
        </w:rPr>
      </w:pPr>
      <w:r w:rsidRPr="00FC4688">
        <w:rPr>
          <w:noProof/>
          <w:sz w:val="22"/>
          <w:lang w:eastAsia="es-GT"/>
        </w:rPr>
        <w:drawing>
          <wp:anchor distT="0" distB="0" distL="114300" distR="114300" simplePos="0" relativeHeight="251665412" behindDoc="0" locked="0" layoutInCell="1" allowOverlap="1" wp14:anchorId="1026A945" wp14:editId="709B9B1D">
            <wp:simplePos x="0" y="0"/>
            <wp:positionH relativeFrom="margin">
              <wp:posOffset>3642995</wp:posOffset>
            </wp:positionH>
            <wp:positionV relativeFrom="paragraph">
              <wp:posOffset>5080</wp:posOffset>
            </wp:positionV>
            <wp:extent cx="2332990" cy="4486275"/>
            <wp:effectExtent l="0" t="0" r="0" b="952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AC72E8">
        <w:rPr>
          <w:sz w:val="22"/>
        </w:rPr>
        <w:t>En</w:t>
      </w:r>
      <w:r w:rsidR="0075653A" w:rsidRPr="00FC4688">
        <w:rPr>
          <w:sz w:val="22"/>
        </w:rPr>
        <w:t xml:space="preserve"> 2022</w:t>
      </w:r>
      <w:r w:rsidR="00762F01" w:rsidRPr="00FC4688">
        <w:rPr>
          <w:sz w:val="22"/>
        </w:rPr>
        <w:t xml:space="preserve">, los </w:t>
      </w:r>
      <w:r w:rsidR="00AC72E8">
        <w:rPr>
          <w:sz w:val="22"/>
        </w:rPr>
        <w:t xml:space="preserve">ingresos percibidos por </w:t>
      </w:r>
      <w:r w:rsidR="00762F01" w:rsidRPr="00FC4688">
        <w:rPr>
          <w:sz w:val="22"/>
        </w:rPr>
        <w:t xml:space="preserve">impuestos ascienden a </w:t>
      </w:r>
      <w:r w:rsidR="00CC2D1F" w:rsidRPr="00FC4688">
        <w:rPr>
          <w:sz w:val="22"/>
        </w:rPr>
        <w:t>Q</w:t>
      </w:r>
      <w:r w:rsidR="00F56296" w:rsidRPr="00F56296">
        <w:rPr>
          <w:sz w:val="22"/>
        </w:rPr>
        <w:t xml:space="preserve">87,579.0 </w:t>
      </w:r>
      <w:r w:rsidR="00762F01" w:rsidRPr="00FC4688">
        <w:rPr>
          <w:sz w:val="22"/>
        </w:rPr>
        <w:t>millones</w:t>
      </w:r>
      <w:r w:rsidR="0003343E">
        <w:rPr>
          <w:sz w:val="22"/>
        </w:rPr>
        <w:t>, siendo</w:t>
      </w:r>
      <w:r w:rsidR="00762F01" w:rsidRPr="00FC4688">
        <w:rPr>
          <w:sz w:val="22"/>
        </w:rPr>
        <w:t xml:space="preserve"> </w:t>
      </w:r>
      <w:r w:rsidR="00D604C9">
        <w:rPr>
          <w:sz w:val="22"/>
        </w:rPr>
        <w:t xml:space="preserve">un </w:t>
      </w:r>
      <w:r w:rsidR="00762F01" w:rsidRPr="00FC4688">
        <w:rPr>
          <w:sz w:val="22"/>
        </w:rPr>
        <w:t>incremento interanual de</w:t>
      </w:r>
      <w:r w:rsidR="00D51106">
        <w:rPr>
          <w:sz w:val="22"/>
        </w:rPr>
        <w:t>l</w:t>
      </w:r>
      <w:r w:rsidR="00762F01" w:rsidRPr="00FC4688">
        <w:rPr>
          <w:sz w:val="22"/>
        </w:rPr>
        <w:t xml:space="preserve"> 1</w:t>
      </w:r>
      <w:r w:rsidR="008E2945">
        <w:rPr>
          <w:sz w:val="22"/>
        </w:rPr>
        <w:t>3</w:t>
      </w:r>
      <w:r w:rsidR="00762F01" w:rsidRPr="00FC4688">
        <w:rPr>
          <w:sz w:val="22"/>
        </w:rPr>
        <w:t>.</w:t>
      </w:r>
      <w:r w:rsidR="008E2945">
        <w:rPr>
          <w:sz w:val="22"/>
        </w:rPr>
        <w:t>3</w:t>
      </w:r>
      <w:r w:rsidR="00762F01" w:rsidRPr="00FC4688">
        <w:rPr>
          <w:sz w:val="22"/>
        </w:rPr>
        <w:t>% (Q</w:t>
      </w:r>
      <w:r w:rsidR="00D51106" w:rsidRPr="00D51106">
        <w:rPr>
          <w:sz w:val="22"/>
        </w:rPr>
        <w:t xml:space="preserve">10,286.9 </w:t>
      </w:r>
      <w:r w:rsidR="00762F01" w:rsidRPr="00FC4688">
        <w:rPr>
          <w:sz w:val="22"/>
        </w:rPr>
        <w:t>millones)</w:t>
      </w:r>
      <w:r w:rsidR="007C5967">
        <w:rPr>
          <w:sz w:val="22"/>
        </w:rPr>
        <w:t xml:space="preserve"> y en términos del PIB, es una carga tributaria del </w:t>
      </w:r>
      <w:r w:rsidR="000C0275">
        <w:rPr>
          <w:sz w:val="22"/>
        </w:rPr>
        <w:t>11.9%</w:t>
      </w:r>
      <w:r w:rsidR="00D51106">
        <w:rPr>
          <w:sz w:val="22"/>
        </w:rPr>
        <w:t xml:space="preserve">. </w:t>
      </w:r>
      <w:r w:rsidR="00C23DB2">
        <w:rPr>
          <w:sz w:val="22"/>
        </w:rPr>
        <w:t>Los impuestos</w:t>
      </w:r>
      <w:r w:rsidR="002212A3">
        <w:rPr>
          <w:sz w:val="22"/>
        </w:rPr>
        <w:t xml:space="preserve"> </w:t>
      </w:r>
      <w:r w:rsidR="006E66B8">
        <w:rPr>
          <w:sz w:val="22"/>
        </w:rPr>
        <w:t>que tuvieron</w:t>
      </w:r>
      <w:r w:rsidR="002212A3">
        <w:rPr>
          <w:sz w:val="22"/>
        </w:rPr>
        <w:t xml:space="preserve"> mayor crecimiento </w:t>
      </w:r>
      <w:r w:rsidR="00762F01" w:rsidRPr="00FC4688">
        <w:rPr>
          <w:sz w:val="22"/>
        </w:rPr>
        <w:t xml:space="preserve">son </w:t>
      </w:r>
      <w:r w:rsidR="00672DC7">
        <w:rPr>
          <w:sz w:val="22"/>
        </w:rPr>
        <w:t xml:space="preserve">los </w:t>
      </w:r>
      <w:r w:rsidR="006E66B8">
        <w:rPr>
          <w:sz w:val="22"/>
        </w:rPr>
        <w:t>asociados a</w:t>
      </w:r>
      <w:r w:rsidR="00762F01" w:rsidRPr="00FC4688">
        <w:rPr>
          <w:sz w:val="22"/>
        </w:rPr>
        <w:t xml:space="preserve"> bienes y servicios</w:t>
      </w:r>
      <w:r w:rsidR="006E66B8">
        <w:rPr>
          <w:sz w:val="22"/>
        </w:rPr>
        <w:t xml:space="preserve">, estos se situaron </w:t>
      </w:r>
      <w:r w:rsidR="0012258B">
        <w:rPr>
          <w:sz w:val="22"/>
        </w:rPr>
        <w:t xml:space="preserve">entorno </w:t>
      </w:r>
      <w:r w:rsidR="0012258B" w:rsidRPr="00FC4688">
        <w:rPr>
          <w:sz w:val="22"/>
        </w:rPr>
        <w:t>a</w:t>
      </w:r>
      <w:r w:rsidR="006E66B8">
        <w:rPr>
          <w:sz w:val="22"/>
        </w:rPr>
        <w:t xml:space="preserve"> los</w:t>
      </w:r>
      <w:r w:rsidR="00762F01" w:rsidRPr="00FC4688">
        <w:rPr>
          <w:sz w:val="22"/>
        </w:rPr>
        <w:t xml:space="preserve"> Q</w:t>
      </w:r>
      <w:r w:rsidR="00840F14" w:rsidRPr="00840F14">
        <w:rPr>
          <w:sz w:val="22"/>
        </w:rPr>
        <w:t xml:space="preserve">51,293.4 </w:t>
      </w:r>
      <w:r w:rsidR="00762F01" w:rsidRPr="00FC4688">
        <w:rPr>
          <w:sz w:val="22"/>
        </w:rPr>
        <w:t>millones</w:t>
      </w:r>
      <w:r w:rsidR="004D09F5">
        <w:rPr>
          <w:sz w:val="22"/>
        </w:rPr>
        <w:t>, con un incremento</w:t>
      </w:r>
      <w:r w:rsidR="00840F14">
        <w:rPr>
          <w:sz w:val="22"/>
        </w:rPr>
        <w:t xml:space="preserve"> </w:t>
      </w:r>
      <w:r w:rsidR="004D09F5">
        <w:rPr>
          <w:sz w:val="22"/>
        </w:rPr>
        <w:t>de</w:t>
      </w:r>
      <w:r w:rsidR="00B26189" w:rsidRPr="00FC4688">
        <w:rPr>
          <w:sz w:val="22"/>
        </w:rPr>
        <w:t xml:space="preserve"> 1</w:t>
      </w:r>
      <w:r w:rsidR="00840F14">
        <w:rPr>
          <w:sz w:val="22"/>
        </w:rPr>
        <w:t>4</w:t>
      </w:r>
      <w:r w:rsidR="00B26189" w:rsidRPr="00FC4688">
        <w:rPr>
          <w:sz w:val="22"/>
        </w:rPr>
        <w:t>.</w:t>
      </w:r>
      <w:r w:rsidR="00840F14">
        <w:rPr>
          <w:sz w:val="22"/>
        </w:rPr>
        <w:t>8</w:t>
      </w:r>
      <w:r w:rsidR="00B26189" w:rsidRPr="00FC4688">
        <w:rPr>
          <w:sz w:val="22"/>
        </w:rPr>
        <w:t>%</w:t>
      </w:r>
      <w:r w:rsidR="00762F01" w:rsidRPr="00FC4688">
        <w:rPr>
          <w:sz w:val="22"/>
        </w:rPr>
        <w:t xml:space="preserve"> (</w:t>
      </w:r>
      <w:r w:rsidR="00B26189" w:rsidRPr="00FC4688">
        <w:rPr>
          <w:sz w:val="22"/>
        </w:rPr>
        <w:t>Q</w:t>
      </w:r>
      <w:r w:rsidR="0012258B" w:rsidRPr="0012258B">
        <w:rPr>
          <w:sz w:val="22"/>
        </w:rPr>
        <w:t xml:space="preserve">6,626.5 </w:t>
      </w:r>
      <w:r w:rsidR="00B26189" w:rsidRPr="00FC4688">
        <w:rPr>
          <w:sz w:val="22"/>
        </w:rPr>
        <w:t>millones</w:t>
      </w:r>
      <w:r w:rsidR="00762F01" w:rsidRPr="00FC4688">
        <w:rPr>
          <w:sz w:val="22"/>
        </w:rPr>
        <w:t>)</w:t>
      </w:r>
      <w:r w:rsidR="00E6008C" w:rsidRPr="00FC4688">
        <w:rPr>
          <w:sz w:val="22"/>
        </w:rPr>
        <w:t xml:space="preserve"> respecto a</w:t>
      </w:r>
      <w:r w:rsidR="0012258B">
        <w:rPr>
          <w:sz w:val="22"/>
        </w:rPr>
        <w:t xml:space="preserve"> lo observado en 2021. C</w:t>
      </w:r>
      <w:r w:rsidR="00E6008C" w:rsidRPr="00FC4688">
        <w:rPr>
          <w:sz w:val="22"/>
        </w:rPr>
        <w:t xml:space="preserve">abe </w:t>
      </w:r>
      <w:r w:rsidR="003733A3" w:rsidRPr="00FC4688">
        <w:rPr>
          <w:sz w:val="22"/>
        </w:rPr>
        <w:t xml:space="preserve">señalar </w:t>
      </w:r>
      <w:r w:rsidR="0012258B">
        <w:rPr>
          <w:sz w:val="22"/>
        </w:rPr>
        <w:t xml:space="preserve">que dentro de esta categoría se encuentra el </w:t>
      </w:r>
      <w:r w:rsidR="0012258B" w:rsidRPr="00FC4688">
        <w:rPr>
          <w:sz w:val="22"/>
        </w:rPr>
        <w:t>Impuesto</w:t>
      </w:r>
      <w:r w:rsidR="00762F01" w:rsidRPr="00FC4688">
        <w:rPr>
          <w:sz w:val="22"/>
        </w:rPr>
        <w:t xml:space="preserve"> al Valor Agregado</w:t>
      </w:r>
      <w:r w:rsidR="003350CA">
        <w:rPr>
          <w:sz w:val="22"/>
        </w:rPr>
        <w:t xml:space="preserve"> (IVA)</w:t>
      </w:r>
      <w:r w:rsidR="0012258B">
        <w:rPr>
          <w:sz w:val="22"/>
        </w:rPr>
        <w:t xml:space="preserve"> y su recaudación es </w:t>
      </w:r>
      <w:r w:rsidR="000A4A23">
        <w:rPr>
          <w:sz w:val="22"/>
        </w:rPr>
        <w:t xml:space="preserve">de </w:t>
      </w:r>
      <w:r w:rsidR="000A4A23" w:rsidRPr="00FC4688">
        <w:rPr>
          <w:sz w:val="22"/>
        </w:rPr>
        <w:t>Q</w:t>
      </w:r>
      <w:r w:rsidR="000A4A23" w:rsidRPr="000A4A23">
        <w:rPr>
          <w:sz w:val="22"/>
        </w:rPr>
        <w:t>42,942.2</w:t>
      </w:r>
      <w:r w:rsidR="000A4A23">
        <w:rPr>
          <w:sz w:val="22"/>
        </w:rPr>
        <w:t xml:space="preserve"> </w:t>
      </w:r>
      <w:r w:rsidR="00762F01" w:rsidRPr="00FC4688">
        <w:rPr>
          <w:sz w:val="22"/>
        </w:rPr>
        <w:t>millones</w:t>
      </w:r>
      <w:r w:rsidR="004D09F5">
        <w:rPr>
          <w:sz w:val="22"/>
        </w:rPr>
        <w:t>,</w:t>
      </w:r>
      <w:r w:rsidR="00B4629B" w:rsidRPr="00FC4688">
        <w:rPr>
          <w:sz w:val="22"/>
        </w:rPr>
        <w:t xml:space="preserve"> </w:t>
      </w:r>
      <w:r w:rsidR="004D09F5">
        <w:rPr>
          <w:sz w:val="22"/>
        </w:rPr>
        <w:t xml:space="preserve">mostrando </w:t>
      </w:r>
      <w:r w:rsidR="000A4A23">
        <w:rPr>
          <w:sz w:val="22"/>
        </w:rPr>
        <w:t xml:space="preserve">un crecimiento interanual de </w:t>
      </w:r>
      <w:r w:rsidR="00C23DB2">
        <w:rPr>
          <w:sz w:val="22"/>
        </w:rPr>
        <w:t>17.2</w:t>
      </w:r>
      <w:r w:rsidR="00FD6D59" w:rsidRPr="00FC4688">
        <w:rPr>
          <w:sz w:val="22"/>
        </w:rPr>
        <w:t>% (</w:t>
      </w:r>
      <w:r w:rsidR="00762F01" w:rsidRPr="00FC4688">
        <w:rPr>
          <w:sz w:val="22"/>
        </w:rPr>
        <w:t>Q</w:t>
      </w:r>
      <w:r w:rsidR="00C23DB2" w:rsidRPr="00C23DB2">
        <w:rPr>
          <w:sz w:val="22"/>
        </w:rPr>
        <w:t xml:space="preserve">6,290.4 </w:t>
      </w:r>
      <w:r w:rsidR="00C23DB2" w:rsidRPr="00FC4688">
        <w:rPr>
          <w:sz w:val="22"/>
        </w:rPr>
        <w:t>millones</w:t>
      </w:r>
      <w:r w:rsidR="00FD6D59" w:rsidRPr="00FC4688">
        <w:rPr>
          <w:sz w:val="22"/>
        </w:rPr>
        <w:t>)</w:t>
      </w:r>
      <w:r w:rsidR="00762F01" w:rsidRPr="00FC4688">
        <w:rPr>
          <w:sz w:val="22"/>
        </w:rPr>
        <w:t xml:space="preserve">. </w:t>
      </w:r>
      <w:r w:rsidR="00E87208" w:rsidRPr="00FC4688">
        <w:rPr>
          <w:sz w:val="22"/>
        </w:rPr>
        <w:t xml:space="preserve"> </w:t>
      </w:r>
    </w:p>
    <w:p w14:paraId="09526BA4" w14:textId="77777777" w:rsidR="00343A1D" w:rsidRPr="00FC4688" w:rsidRDefault="00343A1D" w:rsidP="00B304F3">
      <w:pPr>
        <w:pStyle w:val="Prrafodelista"/>
        <w:ind w:left="0"/>
        <w:rPr>
          <w:sz w:val="22"/>
        </w:rPr>
      </w:pPr>
    </w:p>
    <w:p w14:paraId="232B9B2B" w14:textId="5E798A01" w:rsidR="00CF7041" w:rsidRPr="00FC4688" w:rsidRDefault="00E37B31" w:rsidP="00CF7041">
      <w:r>
        <w:t>En cuanto a los impuestos asociados a</w:t>
      </w:r>
      <w:r w:rsidR="00CF7041" w:rsidRPr="00FC4688">
        <w:t xml:space="preserve"> </w:t>
      </w:r>
      <w:r>
        <w:t>los in</w:t>
      </w:r>
      <w:r w:rsidR="00CF7041" w:rsidRPr="00FC4688">
        <w:t>greso</w:t>
      </w:r>
      <w:r>
        <w:t>s</w:t>
      </w:r>
      <w:r w:rsidR="00CF7041" w:rsidRPr="00FC4688">
        <w:t>, las utilidades y las ganancias de capital, estos ascienden a Q</w:t>
      </w:r>
      <w:r w:rsidR="00B4537E" w:rsidRPr="00B4537E">
        <w:t xml:space="preserve">31,462.9 </w:t>
      </w:r>
      <w:r w:rsidR="00CF7041" w:rsidRPr="00FC4688">
        <w:t>millones</w:t>
      </w:r>
      <w:r w:rsidR="004D09F5">
        <w:t>, experimentando</w:t>
      </w:r>
      <w:r w:rsidR="00B4537E">
        <w:t xml:space="preserve"> </w:t>
      </w:r>
      <w:r w:rsidR="004D09F5">
        <w:t xml:space="preserve">un crecimiento de </w:t>
      </w:r>
      <w:r w:rsidR="00C372AC">
        <w:t>10.8</w:t>
      </w:r>
      <w:r w:rsidR="001A6FDA" w:rsidRPr="00FC4688">
        <w:t>%</w:t>
      </w:r>
      <w:r w:rsidR="00CF7041" w:rsidRPr="00FC4688">
        <w:t xml:space="preserve"> </w:t>
      </w:r>
      <w:r w:rsidR="001A6FDA" w:rsidRPr="00FC4688">
        <w:t>(</w:t>
      </w:r>
      <w:r w:rsidR="00CF7041" w:rsidRPr="00FC4688">
        <w:t>Q</w:t>
      </w:r>
      <w:r w:rsidR="00C372AC" w:rsidRPr="00C372AC">
        <w:t xml:space="preserve">3,058.3 </w:t>
      </w:r>
      <w:r w:rsidR="00CF7041" w:rsidRPr="00FC4688">
        <w:t>millones)</w:t>
      </w:r>
      <w:r w:rsidR="005D08C3">
        <w:t xml:space="preserve">. Cabe mencionar </w:t>
      </w:r>
      <w:r w:rsidR="008E4C42">
        <w:t>que,</w:t>
      </w:r>
      <w:r w:rsidR="005D08C3">
        <w:t xml:space="preserve"> </w:t>
      </w:r>
      <w:r w:rsidR="00526AAC">
        <w:t xml:space="preserve">dentro </w:t>
      </w:r>
      <w:r w:rsidR="005D08C3">
        <w:t>de esta categoría</w:t>
      </w:r>
      <w:r w:rsidR="00526AAC">
        <w:t xml:space="preserve">, </w:t>
      </w:r>
      <w:r w:rsidR="00CF7041" w:rsidRPr="00FC4688">
        <w:t xml:space="preserve">los impuestos a sociedades y otras empresas presentan </w:t>
      </w:r>
      <w:r w:rsidR="008674A9">
        <w:t xml:space="preserve">un </w:t>
      </w:r>
      <w:r w:rsidR="00CF7041" w:rsidRPr="00FC4688">
        <w:t xml:space="preserve">crecimiento </w:t>
      </w:r>
      <w:r w:rsidR="005D08C3">
        <w:t xml:space="preserve">positivo por </w:t>
      </w:r>
      <w:r w:rsidR="007B26D2">
        <w:t>16.6</w:t>
      </w:r>
      <w:r w:rsidR="00B53789" w:rsidRPr="00FC4688">
        <w:t xml:space="preserve">% </w:t>
      </w:r>
      <w:r w:rsidR="00CF7041" w:rsidRPr="00FC4688">
        <w:t>(</w:t>
      </w:r>
      <w:r w:rsidR="00B53789" w:rsidRPr="00FC4688">
        <w:t>Q</w:t>
      </w:r>
      <w:r w:rsidR="007B26D2" w:rsidRPr="007B26D2">
        <w:t xml:space="preserve">3,941.5 </w:t>
      </w:r>
      <w:r w:rsidR="00B53789" w:rsidRPr="00FC4688">
        <w:t>millones</w:t>
      </w:r>
      <w:r w:rsidR="00CF7041" w:rsidRPr="00FC4688">
        <w:t>)</w:t>
      </w:r>
      <w:r w:rsidR="007B26D2">
        <w:t xml:space="preserve"> mientras que los asociados a las </w:t>
      </w:r>
      <w:r w:rsidR="00CF7041" w:rsidRPr="00FC4688">
        <w:t xml:space="preserve">personas </w:t>
      </w:r>
      <w:r w:rsidR="008A6ECC" w:rsidRPr="00FC4688">
        <w:t>físicas</w:t>
      </w:r>
      <w:r w:rsidR="00B53789" w:rsidRPr="00FC4688">
        <w:t xml:space="preserve"> </w:t>
      </w:r>
      <w:r w:rsidR="00852A03">
        <w:t>disminuyeron</w:t>
      </w:r>
      <w:r w:rsidR="00CF7041" w:rsidRPr="00FC4688">
        <w:t xml:space="preserve"> en 1</w:t>
      </w:r>
      <w:r w:rsidR="00852A03">
        <w:t>8</w:t>
      </w:r>
      <w:r w:rsidR="00CF7041" w:rsidRPr="00FC4688">
        <w:t>.</w:t>
      </w:r>
      <w:r w:rsidR="00852A03">
        <w:t>7</w:t>
      </w:r>
      <w:r w:rsidR="00CF7041" w:rsidRPr="00FC4688">
        <w:t>%</w:t>
      </w:r>
      <w:r w:rsidR="00AD6F7E" w:rsidRPr="00FC4688">
        <w:t xml:space="preserve"> (</w:t>
      </w:r>
      <w:r w:rsidR="00852A03" w:rsidRPr="00FC4688">
        <w:t>Q</w:t>
      </w:r>
      <w:r w:rsidR="00852A03" w:rsidRPr="00852A03">
        <w:t xml:space="preserve">883.2 </w:t>
      </w:r>
      <w:r w:rsidR="00852A03" w:rsidRPr="00FC4688">
        <w:t>millones</w:t>
      </w:r>
      <w:r w:rsidR="00AD6F7E" w:rsidRPr="00FC4688">
        <w:t>)</w:t>
      </w:r>
      <w:r w:rsidR="00CF7041" w:rsidRPr="00FC4688">
        <w:t>.</w:t>
      </w:r>
    </w:p>
    <w:p w14:paraId="39F819EB" w14:textId="6007B806" w:rsidR="00A15AEB" w:rsidRPr="00FC4688" w:rsidRDefault="00A15AEB" w:rsidP="00F55D61"/>
    <w:p w14:paraId="0DB2FCFC" w14:textId="3050E09E" w:rsidR="00A6565E" w:rsidRPr="00FC4688" w:rsidRDefault="001E1FE1" w:rsidP="00A6565E">
      <w:r w:rsidRPr="00FC4688">
        <w:t>L</w:t>
      </w:r>
      <w:r w:rsidR="00A6565E" w:rsidRPr="00FC4688">
        <w:t xml:space="preserve">os impuestos </w:t>
      </w:r>
      <w:r w:rsidR="008A6ECC">
        <w:t>aplicados al</w:t>
      </w:r>
      <w:r w:rsidR="00A6565E" w:rsidRPr="00FC4688">
        <w:t xml:space="preserve"> comercio y las transacciones internacionales </w:t>
      </w:r>
      <w:r w:rsidR="00C14B5E" w:rsidRPr="00FC4688">
        <w:t xml:space="preserve">se </w:t>
      </w:r>
      <w:r w:rsidR="00B0063E">
        <w:t>situaron</w:t>
      </w:r>
      <w:r w:rsidR="00A6565E" w:rsidRPr="00FC4688">
        <w:t xml:space="preserve"> </w:t>
      </w:r>
      <w:r w:rsidR="00C14B5E" w:rsidRPr="00FC4688">
        <w:t>en</w:t>
      </w:r>
      <w:r w:rsidR="00A6565E" w:rsidRPr="00FC4688">
        <w:t xml:space="preserve"> Q</w:t>
      </w:r>
      <w:r w:rsidR="00B0063E" w:rsidRPr="00B0063E">
        <w:t>4,199.8</w:t>
      </w:r>
      <w:r w:rsidR="00B0063E">
        <w:t xml:space="preserve"> y este es un aumento de 1</w:t>
      </w:r>
      <w:r w:rsidR="00C14B5E" w:rsidRPr="00FC4688">
        <w:t>4</w:t>
      </w:r>
      <w:r w:rsidR="00B0063E">
        <w:t>.1</w:t>
      </w:r>
      <w:r w:rsidR="00C14B5E" w:rsidRPr="00FC4688">
        <w:t>%</w:t>
      </w:r>
      <w:r w:rsidR="00A6565E" w:rsidRPr="00FC4688">
        <w:t xml:space="preserve"> </w:t>
      </w:r>
      <w:r w:rsidR="00C14B5E" w:rsidRPr="00FC4688">
        <w:t>(</w:t>
      </w:r>
      <w:r w:rsidR="00A6565E" w:rsidRPr="00FC4688">
        <w:t>Q</w:t>
      </w:r>
      <w:r w:rsidR="00B0063E">
        <w:t>518</w:t>
      </w:r>
      <w:r w:rsidR="00A6565E" w:rsidRPr="00FC4688">
        <w:t>.0 millones).</w:t>
      </w:r>
      <w:r w:rsidR="00D075FD">
        <w:t xml:space="preserve"> E</w:t>
      </w:r>
      <w:r w:rsidR="00955F22">
        <w:t>n</w:t>
      </w:r>
      <w:r w:rsidR="00A6565E" w:rsidRPr="00FC4688">
        <w:t xml:space="preserve"> </w:t>
      </w:r>
      <w:r w:rsidR="008847F5">
        <w:t>la categoría</w:t>
      </w:r>
      <w:r w:rsidR="00A6565E" w:rsidRPr="00FC4688">
        <w:t xml:space="preserve"> de otros impuestos</w:t>
      </w:r>
      <w:r w:rsidR="008847F5">
        <w:t xml:space="preserve"> </w:t>
      </w:r>
      <w:r w:rsidR="00D05209">
        <w:t>se observó una recaudación de</w:t>
      </w:r>
      <w:r w:rsidR="00A86C5B">
        <w:t xml:space="preserve"> </w:t>
      </w:r>
      <w:r w:rsidR="00A6565E" w:rsidRPr="00FC4688">
        <w:t>Q</w:t>
      </w:r>
      <w:r w:rsidR="00A86C5B" w:rsidRPr="00A86C5B">
        <w:t>586.0</w:t>
      </w:r>
      <w:r w:rsidR="00A6565E" w:rsidRPr="00FC4688">
        <w:t xml:space="preserve"> millones</w:t>
      </w:r>
      <w:r w:rsidR="00A86C5B">
        <w:t xml:space="preserve"> y esto es un crecimiento</w:t>
      </w:r>
      <w:r w:rsidR="00657C0B">
        <w:t xml:space="preserve"> del</w:t>
      </w:r>
      <w:r w:rsidR="00A6565E" w:rsidRPr="00FC4688">
        <w:t xml:space="preserve"> </w:t>
      </w:r>
      <w:r w:rsidR="00AF685C" w:rsidRPr="00FC4688">
        <w:t>1</w:t>
      </w:r>
      <w:r w:rsidR="00657C0B">
        <w:t>4</w:t>
      </w:r>
      <w:r w:rsidR="00AF685C" w:rsidRPr="00FC4688">
        <w:t>.</w:t>
      </w:r>
      <w:r w:rsidR="00657C0B">
        <w:t>3</w:t>
      </w:r>
      <w:r w:rsidR="00AF685C" w:rsidRPr="00FC4688">
        <w:t>% (</w:t>
      </w:r>
      <w:r w:rsidR="00A6565E" w:rsidRPr="00FC4688">
        <w:t>Q</w:t>
      </w:r>
      <w:r w:rsidR="00657C0B">
        <w:t>73.3</w:t>
      </w:r>
      <w:r w:rsidR="00A6565E" w:rsidRPr="00FC4688">
        <w:t xml:space="preserve"> millones)</w:t>
      </w:r>
      <w:r w:rsidR="00657C0B">
        <w:t xml:space="preserve"> </w:t>
      </w:r>
      <w:r w:rsidR="00F3382E">
        <w:t>y,</w:t>
      </w:r>
      <w:r w:rsidR="00657C0B">
        <w:t xml:space="preserve"> por </w:t>
      </w:r>
      <w:r w:rsidR="00143321">
        <w:t>último</w:t>
      </w:r>
      <w:r w:rsidR="00657C0B">
        <w:t>,</w:t>
      </w:r>
      <w:r w:rsidR="00A6565E" w:rsidRPr="00FC4688">
        <w:t xml:space="preserve"> </w:t>
      </w:r>
      <w:r w:rsidR="00657C0B">
        <w:t>l</w:t>
      </w:r>
      <w:r w:rsidR="00A6565E" w:rsidRPr="00FC4688">
        <w:t>os impuestos sobre la propiedad alcanzaron la cifra de Q</w:t>
      </w:r>
      <w:r w:rsidR="00143321">
        <w:t>36</w:t>
      </w:r>
      <w:r w:rsidR="00A6565E" w:rsidRPr="00FC4688">
        <w:t>.</w:t>
      </w:r>
      <w:r w:rsidR="00143321">
        <w:t>9</w:t>
      </w:r>
      <w:r w:rsidR="00A6565E" w:rsidRPr="00FC4688">
        <w:t xml:space="preserve"> millones, con </w:t>
      </w:r>
      <w:r w:rsidR="00884C9E" w:rsidRPr="00FC4688">
        <w:t>un crecimiento</w:t>
      </w:r>
      <w:r w:rsidR="00A6565E" w:rsidRPr="00FC4688">
        <w:t xml:space="preserve"> de </w:t>
      </w:r>
      <w:r w:rsidR="00143321">
        <w:t>41.3</w:t>
      </w:r>
      <w:r w:rsidR="00A6565E" w:rsidRPr="00FC4688">
        <w:t>%</w:t>
      </w:r>
      <w:r w:rsidR="00884C9E" w:rsidRPr="00FC4688">
        <w:t xml:space="preserve"> (Q</w:t>
      </w:r>
      <w:r w:rsidR="00143321">
        <w:t>10.8</w:t>
      </w:r>
      <w:r w:rsidR="00884C9E" w:rsidRPr="00FC4688">
        <w:t xml:space="preserve"> millones</w:t>
      </w:r>
      <w:r w:rsidR="00A6565E" w:rsidRPr="00FC4688">
        <w:t>).</w:t>
      </w:r>
    </w:p>
    <w:p w14:paraId="26A00D11" w14:textId="77777777" w:rsidR="00A6565E" w:rsidRPr="00FC4688" w:rsidRDefault="00A6565E" w:rsidP="00A6565E"/>
    <w:p w14:paraId="6521FD85" w14:textId="1DE0BB74" w:rsidR="00A6565E" w:rsidRDefault="002E47AC" w:rsidP="00B878C2">
      <w:r>
        <w:t>E</w:t>
      </w:r>
      <w:r w:rsidR="00A6565E" w:rsidRPr="00FC4688">
        <w:t xml:space="preserve">l crecimiento </w:t>
      </w:r>
      <w:r>
        <w:t xml:space="preserve">observado </w:t>
      </w:r>
      <w:r w:rsidR="00A6565E" w:rsidRPr="00FC4688">
        <w:t xml:space="preserve">en la recaudación tributaria </w:t>
      </w:r>
      <w:r w:rsidR="00B977DB">
        <w:t xml:space="preserve">estuvo </w:t>
      </w:r>
      <w:r w:rsidR="00E26AFF">
        <w:t>determinado</w:t>
      </w:r>
      <w:r w:rsidR="00B977DB">
        <w:t xml:space="preserve"> principalmente por </w:t>
      </w:r>
      <w:r w:rsidR="00E5464B">
        <w:t>el impulso de la</w:t>
      </w:r>
      <w:r w:rsidR="00B977DB">
        <w:t xml:space="preserve"> actividad económica</w:t>
      </w:r>
      <w:r w:rsidR="00F27A71">
        <w:t xml:space="preserve"> y </w:t>
      </w:r>
      <w:r w:rsidR="0007736A">
        <w:t xml:space="preserve">por </w:t>
      </w:r>
      <w:r w:rsidR="004F473E">
        <w:t xml:space="preserve">factores internacionales </w:t>
      </w:r>
      <w:r w:rsidR="00696587">
        <w:t>como la guerra de Rusia con Ucrania</w:t>
      </w:r>
      <w:r w:rsidR="00F3382E">
        <w:t xml:space="preserve"> que derivó en</w:t>
      </w:r>
      <w:r w:rsidR="00696587">
        <w:t xml:space="preserve"> </w:t>
      </w:r>
      <w:r w:rsidR="005E353D">
        <w:t xml:space="preserve">el aumento </w:t>
      </w:r>
      <w:r w:rsidR="00E26AFF">
        <w:t>en los</w:t>
      </w:r>
      <w:r w:rsidR="00696587">
        <w:t xml:space="preserve"> precios </w:t>
      </w:r>
      <w:r w:rsidR="005E353D">
        <w:t xml:space="preserve">de </w:t>
      </w:r>
      <w:r w:rsidR="00E26AFF">
        <w:t>combustibles</w:t>
      </w:r>
      <w:r w:rsidR="00853F83">
        <w:t>,</w:t>
      </w:r>
      <w:r w:rsidR="004E1C38">
        <w:t xml:space="preserve"> los cuales</w:t>
      </w:r>
      <w:r w:rsidR="00853F83">
        <w:t xml:space="preserve"> tuvieron un </w:t>
      </w:r>
      <w:r w:rsidR="00B878C2">
        <w:t>impacto considerable</w:t>
      </w:r>
      <w:r w:rsidR="009C7A7F">
        <w:t xml:space="preserve"> en los precios de las </w:t>
      </w:r>
      <w:r w:rsidR="00853F83">
        <w:t>importa</w:t>
      </w:r>
      <w:r w:rsidR="007873EC">
        <w:t>ciones</w:t>
      </w:r>
      <w:r w:rsidR="001C0332">
        <w:t xml:space="preserve"> </w:t>
      </w:r>
      <w:r w:rsidR="0082600E">
        <w:t>que a</w:t>
      </w:r>
      <w:r w:rsidR="001C0332">
        <w:t xml:space="preserve"> su</w:t>
      </w:r>
      <w:r w:rsidR="0082600E">
        <w:t xml:space="preserve"> vez tuvo un</w:t>
      </w:r>
      <w:r w:rsidR="001C0332">
        <w:t xml:space="preserve"> </w:t>
      </w:r>
      <w:r w:rsidR="00833FFC">
        <w:t>efecto en la recaudación asociada al comercio exterior (IVA importaciones y los Derechos Arancelarios a la Importación)</w:t>
      </w:r>
      <w:r w:rsidR="00B878C2">
        <w:t>.</w:t>
      </w:r>
      <w:r w:rsidR="00657213">
        <w:t xml:space="preserve"> As</w:t>
      </w:r>
      <w:r w:rsidR="00E5464B">
        <w:t>i</w:t>
      </w:r>
      <w:r w:rsidR="00657213">
        <w:t xml:space="preserve">mismo, es </w:t>
      </w:r>
      <w:r w:rsidR="00A73671">
        <w:t xml:space="preserve">oportuno resaltar que una parte del </w:t>
      </w:r>
      <w:r w:rsidR="00E5464B">
        <w:t xml:space="preserve">aumento </w:t>
      </w:r>
      <w:r w:rsidR="00A73671">
        <w:t xml:space="preserve">en los impuestos es producto de los esfuerzos realizados por </w:t>
      </w:r>
      <w:r w:rsidR="00282A41">
        <w:t xml:space="preserve">la Administración </w:t>
      </w:r>
      <w:r w:rsidR="00BC678D">
        <w:t xml:space="preserve">Tributaria </w:t>
      </w:r>
      <w:r w:rsidR="00446B88">
        <w:t xml:space="preserve">en la implementación de su </w:t>
      </w:r>
      <w:r w:rsidR="007873EC">
        <w:t>P</w:t>
      </w:r>
      <w:r w:rsidR="00BC678D">
        <w:t xml:space="preserve">lan Estratégico </w:t>
      </w:r>
      <w:r w:rsidR="00A16020">
        <w:t>Institucional</w:t>
      </w:r>
      <w:r w:rsidR="00BC678D">
        <w:t xml:space="preserve"> 2021-2</w:t>
      </w:r>
      <w:r w:rsidR="00A16020">
        <w:t>025</w:t>
      </w:r>
      <w:r w:rsidR="00E5464B">
        <w:t xml:space="preserve"> que ha permitido una reducción de la evasión fiscal y el contrabando aduanero</w:t>
      </w:r>
      <w:r w:rsidR="002260FB">
        <w:t>.</w:t>
      </w:r>
    </w:p>
    <w:p w14:paraId="7E0B5894" w14:textId="77777777" w:rsidR="00E66A98" w:rsidRPr="00FC4688" w:rsidRDefault="00E66A98" w:rsidP="00E66A98">
      <w:pPr>
        <w:pStyle w:val="Prrafodelista"/>
        <w:numPr>
          <w:ilvl w:val="0"/>
          <w:numId w:val="32"/>
        </w:numPr>
        <w:outlineLvl w:val="2"/>
        <w:rPr>
          <w:rFonts w:cs="Times New Roman"/>
          <w:b/>
          <w:vanish/>
          <w:lang w:val="es-MX"/>
        </w:rPr>
      </w:pPr>
      <w:bookmarkStart w:id="50" w:name="_Toc31612759"/>
      <w:bookmarkStart w:id="51" w:name="_Toc31612791"/>
      <w:bookmarkStart w:id="52" w:name="_Toc31614817"/>
      <w:bookmarkStart w:id="53" w:name="_Toc31614849"/>
      <w:bookmarkStart w:id="54" w:name="_Toc31618686"/>
      <w:bookmarkStart w:id="55" w:name="_Toc31618719"/>
      <w:bookmarkStart w:id="56" w:name="_Toc31624495"/>
      <w:bookmarkStart w:id="57" w:name="_Toc31625347"/>
      <w:bookmarkStart w:id="58" w:name="_Toc31626802"/>
      <w:bookmarkStart w:id="59" w:name="_Toc31811253"/>
      <w:bookmarkStart w:id="60" w:name="_Toc31811698"/>
      <w:bookmarkStart w:id="61" w:name="_Toc31971861"/>
      <w:bookmarkStart w:id="62" w:name="_Toc32230883"/>
      <w:bookmarkStart w:id="63" w:name="_Toc33109782"/>
      <w:bookmarkStart w:id="64" w:name="_Toc33109825"/>
      <w:bookmarkStart w:id="65" w:name="_Toc33180546"/>
      <w:bookmarkStart w:id="66" w:name="_Toc33180640"/>
      <w:bookmarkStart w:id="67" w:name="_Toc33193537"/>
      <w:bookmarkStart w:id="68" w:name="_Toc33193576"/>
      <w:bookmarkStart w:id="69" w:name="_Toc33196773"/>
      <w:bookmarkStart w:id="70" w:name="_Toc40691749"/>
      <w:bookmarkStart w:id="71" w:name="_Toc40959152"/>
      <w:bookmarkStart w:id="72" w:name="_Toc40975986"/>
      <w:bookmarkStart w:id="73" w:name="_Toc40976055"/>
      <w:bookmarkStart w:id="74" w:name="_Toc40993310"/>
      <w:bookmarkStart w:id="75" w:name="_Toc40993692"/>
      <w:bookmarkStart w:id="76" w:name="_Toc41037568"/>
      <w:bookmarkStart w:id="77" w:name="_Toc41254128"/>
      <w:bookmarkStart w:id="78" w:name="_Toc41254160"/>
      <w:bookmarkStart w:id="79" w:name="_Toc41254180"/>
      <w:bookmarkStart w:id="80" w:name="_Toc42023953"/>
      <w:bookmarkStart w:id="81" w:name="_Toc42024006"/>
      <w:bookmarkStart w:id="82" w:name="_Toc42069104"/>
      <w:bookmarkStart w:id="83" w:name="_Toc49422050"/>
      <w:bookmarkStart w:id="84" w:name="_Toc49422076"/>
      <w:bookmarkStart w:id="85" w:name="_Toc49430655"/>
      <w:bookmarkStart w:id="86" w:name="_Toc49430681"/>
      <w:bookmarkStart w:id="87" w:name="_Toc49750458"/>
      <w:bookmarkStart w:id="88" w:name="_Toc49750708"/>
      <w:bookmarkStart w:id="89" w:name="_Toc49750736"/>
      <w:bookmarkStart w:id="90" w:name="_Toc55284822"/>
      <w:bookmarkStart w:id="91" w:name="_Toc55298840"/>
      <w:bookmarkStart w:id="92" w:name="_Toc55373821"/>
      <w:bookmarkStart w:id="93" w:name="_Toc55373994"/>
      <w:bookmarkStart w:id="94" w:name="_Toc55375131"/>
      <w:bookmarkStart w:id="95" w:name="_Toc55396539"/>
      <w:bookmarkStart w:id="96" w:name="_Toc65230535"/>
      <w:bookmarkStart w:id="97" w:name="_Toc65230773"/>
      <w:bookmarkStart w:id="98" w:name="_Toc65232057"/>
      <w:bookmarkStart w:id="99" w:name="_Toc65232302"/>
      <w:bookmarkStart w:id="100" w:name="_Toc66716161"/>
      <w:bookmarkStart w:id="101" w:name="_Toc71097206"/>
      <w:bookmarkStart w:id="102" w:name="_Toc71097237"/>
      <w:bookmarkStart w:id="103" w:name="_Toc71097312"/>
      <w:bookmarkStart w:id="104" w:name="_Toc71108052"/>
      <w:bookmarkStart w:id="105" w:name="_Toc79055246"/>
      <w:bookmarkStart w:id="106" w:name="_Toc79055277"/>
      <w:bookmarkStart w:id="107" w:name="_Toc79060168"/>
      <w:bookmarkStart w:id="108" w:name="_Toc79060455"/>
      <w:bookmarkStart w:id="109" w:name="_Toc81307812"/>
      <w:bookmarkStart w:id="110" w:name="_Toc83376473"/>
      <w:bookmarkStart w:id="111" w:name="_Toc86386712"/>
      <w:bookmarkStart w:id="112" w:name="_Toc86405398"/>
      <w:bookmarkStart w:id="113" w:name="_Toc98162428"/>
      <w:bookmarkStart w:id="114" w:name="_Toc98162460"/>
      <w:bookmarkStart w:id="115" w:name="_Toc98234986"/>
      <w:bookmarkStart w:id="116" w:name="_Toc98235181"/>
      <w:bookmarkStart w:id="117" w:name="_Toc98235266"/>
      <w:bookmarkStart w:id="118" w:name="_Toc98757136"/>
      <w:bookmarkStart w:id="119" w:name="_Toc101874691"/>
      <w:bookmarkStart w:id="120" w:name="_Toc101954147"/>
      <w:bookmarkStart w:id="121" w:name="_Toc101971964"/>
      <w:bookmarkStart w:id="122" w:name="_Toc101974056"/>
      <w:bookmarkStart w:id="123" w:name="_Toc102039741"/>
      <w:bookmarkStart w:id="124" w:name="_Toc102039779"/>
      <w:bookmarkStart w:id="125" w:name="_Toc102039819"/>
      <w:bookmarkStart w:id="126" w:name="_Toc102039850"/>
      <w:bookmarkStart w:id="127" w:name="_Toc102040908"/>
      <w:bookmarkStart w:id="128" w:name="_Toc102477756"/>
      <w:bookmarkStart w:id="129" w:name="_Toc102477787"/>
      <w:bookmarkStart w:id="130" w:name="_Toc109824817"/>
      <w:bookmarkStart w:id="131" w:name="_Toc109828773"/>
      <w:bookmarkStart w:id="132" w:name="_Toc109828836"/>
      <w:bookmarkStart w:id="133" w:name="_Toc109829012"/>
      <w:bookmarkStart w:id="134" w:name="_Toc109829043"/>
      <w:bookmarkStart w:id="135" w:name="_Toc109833887"/>
      <w:bookmarkStart w:id="136" w:name="_Toc110237430"/>
      <w:bookmarkStart w:id="137" w:name="_Toc117775307"/>
      <w:bookmarkStart w:id="138" w:name="_Toc117781276"/>
      <w:bookmarkStart w:id="139" w:name="_Toc125620805"/>
      <w:bookmarkStart w:id="140" w:name="_Toc125620836"/>
      <w:bookmarkStart w:id="141" w:name="_Toc125620867"/>
      <w:bookmarkStart w:id="142" w:name="_Toc125620903"/>
      <w:bookmarkStart w:id="143" w:name="_Toc125620934"/>
      <w:bookmarkStart w:id="144" w:name="_Toc125620967"/>
      <w:bookmarkStart w:id="145" w:name="_Toc125621020"/>
      <w:bookmarkStart w:id="146" w:name="_Toc125621074"/>
      <w:bookmarkStart w:id="147" w:name="_Toc125623552"/>
      <w:bookmarkStart w:id="148" w:name="_Toc125623584"/>
      <w:bookmarkStart w:id="149" w:name="_Toc125623616"/>
      <w:bookmarkStart w:id="150" w:name="_Toc125970362"/>
      <w:bookmarkStart w:id="151" w:name="_Toc125970394"/>
      <w:bookmarkStart w:id="152" w:name="_Toc127365845"/>
      <w:bookmarkStart w:id="153" w:name="_Toc127434597"/>
      <w:bookmarkStart w:id="154" w:name="_Toc127436964"/>
      <w:bookmarkStart w:id="155" w:name="_Toc127437326"/>
      <w:bookmarkStart w:id="156" w:name="_Toc12743767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4523242" w14:textId="77777777" w:rsidR="00E66A98" w:rsidRPr="00FC4688" w:rsidRDefault="00E66A98" w:rsidP="00E66A98">
      <w:pPr>
        <w:pStyle w:val="Prrafodelista"/>
        <w:numPr>
          <w:ilvl w:val="1"/>
          <w:numId w:val="32"/>
        </w:numPr>
        <w:outlineLvl w:val="2"/>
        <w:rPr>
          <w:rFonts w:cs="Times New Roman"/>
          <w:b/>
          <w:vanish/>
          <w:lang w:val="es-MX"/>
        </w:rPr>
      </w:pPr>
      <w:bookmarkStart w:id="157" w:name="_Toc31612760"/>
      <w:bookmarkStart w:id="158" w:name="_Toc31612792"/>
      <w:bookmarkStart w:id="159" w:name="_Toc31614818"/>
      <w:bookmarkStart w:id="160" w:name="_Toc31614850"/>
      <w:bookmarkStart w:id="161" w:name="_Toc31618687"/>
      <w:bookmarkStart w:id="162" w:name="_Toc31618720"/>
      <w:bookmarkStart w:id="163" w:name="_Toc31624496"/>
      <w:bookmarkStart w:id="164" w:name="_Toc31625348"/>
      <w:bookmarkStart w:id="165" w:name="_Toc31626803"/>
      <w:bookmarkStart w:id="166" w:name="_Toc31811254"/>
      <w:bookmarkStart w:id="167" w:name="_Toc31811699"/>
      <w:bookmarkStart w:id="168" w:name="_Toc31971862"/>
      <w:bookmarkStart w:id="169" w:name="_Toc32230884"/>
      <w:bookmarkStart w:id="170" w:name="_Toc33109783"/>
      <w:bookmarkStart w:id="171" w:name="_Toc33109826"/>
      <w:bookmarkStart w:id="172" w:name="_Toc33180547"/>
      <w:bookmarkStart w:id="173" w:name="_Toc33180641"/>
      <w:bookmarkStart w:id="174" w:name="_Toc33193538"/>
      <w:bookmarkStart w:id="175" w:name="_Toc33193577"/>
      <w:bookmarkStart w:id="176" w:name="_Toc33196774"/>
      <w:bookmarkStart w:id="177" w:name="_Toc40691750"/>
      <w:bookmarkStart w:id="178" w:name="_Toc40959153"/>
      <w:bookmarkStart w:id="179" w:name="_Toc40975987"/>
      <w:bookmarkStart w:id="180" w:name="_Toc40976056"/>
      <w:bookmarkStart w:id="181" w:name="_Toc40993311"/>
      <w:bookmarkStart w:id="182" w:name="_Toc40993693"/>
      <w:bookmarkStart w:id="183" w:name="_Toc41037569"/>
      <w:bookmarkStart w:id="184" w:name="_Toc41254129"/>
      <w:bookmarkStart w:id="185" w:name="_Toc41254161"/>
      <w:bookmarkStart w:id="186" w:name="_Toc41254181"/>
      <w:bookmarkStart w:id="187" w:name="_Toc42023954"/>
      <w:bookmarkStart w:id="188" w:name="_Toc42024007"/>
      <w:bookmarkStart w:id="189" w:name="_Toc42069105"/>
      <w:bookmarkStart w:id="190" w:name="_Toc49422051"/>
      <w:bookmarkStart w:id="191" w:name="_Toc49422077"/>
      <w:bookmarkStart w:id="192" w:name="_Toc49430656"/>
      <w:bookmarkStart w:id="193" w:name="_Toc49430682"/>
      <w:bookmarkStart w:id="194" w:name="_Toc49750459"/>
      <w:bookmarkStart w:id="195" w:name="_Toc49750709"/>
      <w:bookmarkStart w:id="196" w:name="_Toc49750737"/>
      <w:bookmarkStart w:id="197" w:name="_Toc55284823"/>
      <w:bookmarkStart w:id="198" w:name="_Toc55298841"/>
      <w:bookmarkStart w:id="199" w:name="_Toc55373822"/>
      <w:bookmarkStart w:id="200" w:name="_Toc55373995"/>
      <w:bookmarkStart w:id="201" w:name="_Toc55375132"/>
      <w:bookmarkStart w:id="202" w:name="_Toc55396540"/>
      <w:bookmarkStart w:id="203" w:name="_Toc65230536"/>
      <w:bookmarkStart w:id="204" w:name="_Toc65230774"/>
      <w:bookmarkStart w:id="205" w:name="_Toc65232058"/>
      <w:bookmarkStart w:id="206" w:name="_Toc65232303"/>
      <w:bookmarkStart w:id="207" w:name="_Toc66716162"/>
      <w:bookmarkStart w:id="208" w:name="_Toc71097207"/>
      <w:bookmarkStart w:id="209" w:name="_Toc71097238"/>
      <w:bookmarkStart w:id="210" w:name="_Toc71097313"/>
      <w:bookmarkStart w:id="211" w:name="_Toc71108053"/>
      <w:bookmarkStart w:id="212" w:name="_Toc79055247"/>
      <w:bookmarkStart w:id="213" w:name="_Toc79055278"/>
      <w:bookmarkStart w:id="214" w:name="_Toc79060169"/>
      <w:bookmarkStart w:id="215" w:name="_Toc79060456"/>
      <w:bookmarkStart w:id="216" w:name="_Toc81307813"/>
      <w:bookmarkStart w:id="217" w:name="_Toc83376474"/>
      <w:bookmarkStart w:id="218" w:name="_Toc86386713"/>
      <w:bookmarkStart w:id="219" w:name="_Toc86405399"/>
      <w:bookmarkStart w:id="220" w:name="_Toc98162429"/>
      <w:bookmarkStart w:id="221" w:name="_Toc98162461"/>
      <w:bookmarkStart w:id="222" w:name="_Toc98234987"/>
      <w:bookmarkStart w:id="223" w:name="_Toc98235182"/>
      <w:bookmarkStart w:id="224" w:name="_Toc98235267"/>
      <w:bookmarkStart w:id="225" w:name="_Toc98757137"/>
      <w:bookmarkStart w:id="226" w:name="_Toc101874692"/>
      <w:bookmarkStart w:id="227" w:name="_Toc101954148"/>
      <w:bookmarkStart w:id="228" w:name="_Toc101971965"/>
      <w:bookmarkStart w:id="229" w:name="_Toc101974057"/>
      <w:bookmarkStart w:id="230" w:name="_Toc102039742"/>
      <w:bookmarkStart w:id="231" w:name="_Toc102039780"/>
      <w:bookmarkStart w:id="232" w:name="_Toc102039820"/>
      <w:bookmarkStart w:id="233" w:name="_Toc102039851"/>
      <w:bookmarkStart w:id="234" w:name="_Toc102040909"/>
      <w:bookmarkStart w:id="235" w:name="_Toc102477757"/>
      <w:bookmarkStart w:id="236" w:name="_Toc102477788"/>
      <w:bookmarkStart w:id="237" w:name="_Toc109824818"/>
      <w:bookmarkStart w:id="238" w:name="_Toc109828774"/>
      <w:bookmarkStart w:id="239" w:name="_Toc109828837"/>
      <w:bookmarkStart w:id="240" w:name="_Toc109829013"/>
      <w:bookmarkStart w:id="241" w:name="_Toc109829044"/>
      <w:bookmarkStart w:id="242" w:name="_Toc109833888"/>
      <w:bookmarkStart w:id="243" w:name="_Toc110237431"/>
      <w:bookmarkStart w:id="244" w:name="_Toc117775308"/>
      <w:bookmarkStart w:id="245" w:name="_Toc117781277"/>
      <w:bookmarkStart w:id="246" w:name="_Toc125620806"/>
      <w:bookmarkStart w:id="247" w:name="_Toc125620837"/>
      <w:bookmarkStart w:id="248" w:name="_Toc125620868"/>
      <w:bookmarkStart w:id="249" w:name="_Toc125620904"/>
      <w:bookmarkStart w:id="250" w:name="_Toc125620935"/>
      <w:bookmarkStart w:id="251" w:name="_Toc125620968"/>
      <w:bookmarkStart w:id="252" w:name="_Toc125621021"/>
      <w:bookmarkStart w:id="253" w:name="_Toc125621075"/>
      <w:bookmarkStart w:id="254" w:name="_Toc125623553"/>
      <w:bookmarkStart w:id="255" w:name="_Toc125623585"/>
      <w:bookmarkStart w:id="256" w:name="_Toc125623617"/>
      <w:bookmarkStart w:id="257" w:name="_Toc125970363"/>
      <w:bookmarkStart w:id="258" w:name="_Toc125970395"/>
      <w:bookmarkStart w:id="259" w:name="_Toc127365846"/>
      <w:bookmarkStart w:id="260" w:name="_Toc127434598"/>
      <w:bookmarkStart w:id="261" w:name="_Toc127436965"/>
      <w:bookmarkStart w:id="262" w:name="_Toc127437327"/>
      <w:bookmarkStart w:id="263" w:name="_Toc12743768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05ED7A2" w14:textId="77777777" w:rsidR="00E66A98" w:rsidRPr="00FC4688" w:rsidRDefault="00E66A98" w:rsidP="00E66A98">
      <w:pPr>
        <w:pStyle w:val="Prrafodelista"/>
        <w:numPr>
          <w:ilvl w:val="1"/>
          <w:numId w:val="32"/>
        </w:numPr>
        <w:outlineLvl w:val="2"/>
        <w:rPr>
          <w:rFonts w:cs="Times New Roman"/>
          <w:b/>
          <w:vanish/>
          <w:lang w:val="es-MX"/>
        </w:rPr>
      </w:pPr>
      <w:bookmarkStart w:id="264" w:name="_Toc31612761"/>
      <w:bookmarkStart w:id="265" w:name="_Toc31612793"/>
      <w:bookmarkStart w:id="266" w:name="_Toc31614819"/>
      <w:bookmarkStart w:id="267" w:name="_Toc31614851"/>
      <w:bookmarkStart w:id="268" w:name="_Toc31618688"/>
      <w:bookmarkStart w:id="269" w:name="_Toc31618721"/>
      <w:bookmarkStart w:id="270" w:name="_Toc31624497"/>
      <w:bookmarkStart w:id="271" w:name="_Toc31625349"/>
      <w:bookmarkStart w:id="272" w:name="_Toc31626804"/>
      <w:bookmarkStart w:id="273" w:name="_Toc31811255"/>
      <w:bookmarkStart w:id="274" w:name="_Toc31811700"/>
      <w:bookmarkStart w:id="275" w:name="_Toc31971863"/>
      <w:bookmarkStart w:id="276" w:name="_Toc32230885"/>
      <w:bookmarkStart w:id="277" w:name="_Toc33109784"/>
      <w:bookmarkStart w:id="278" w:name="_Toc33109827"/>
      <w:bookmarkStart w:id="279" w:name="_Toc33180548"/>
      <w:bookmarkStart w:id="280" w:name="_Toc33180642"/>
      <w:bookmarkStart w:id="281" w:name="_Toc33193539"/>
      <w:bookmarkStart w:id="282" w:name="_Toc33193578"/>
      <w:bookmarkStart w:id="283" w:name="_Toc33196775"/>
      <w:bookmarkStart w:id="284" w:name="_Toc40691751"/>
      <w:bookmarkStart w:id="285" w:name="_Toc40959154"/>
      <w:bookmarkStart w:id="286" w:name="_Toc40975988"/>
      <w:bookmarkStart w:id="287" w:name="_Toc40976057"/>
      <w:bookmarkStart w:id="288" w:name="_Toc40993312"/>
      <w:bookmarkStart w:id="289" w:name="_Toc40993694"/>
      <w:bookmarkStart w:id="290" w:name="_Toc41037570"/>
      <w:bookmarkStart w:id="291" w:name="_Toc41254130"/>
      <w:bookmarkStart w:id="292" w:name="_Toc41254162"/>
      <w:bookmarkStart w:id="293" w:name="_Toc41254182"/>
      <w:bookmarkStart w:id="294" w:name="_Toc42023955"/>
      <w:bookmarkStart w:id="295" w:name="_Toc42024008"/>
      <w:bookmarkStart w:id="296" w:name="_Toc42069106"/>
      <w:bookmarkStart w:id="297" w:name="_Toc49422052"/>
      <w:bookmarkStart w:id="298" w:name="_Toc49422078"/>
      <w:bookmarkStart w:id="299" w:name="_Toc49430657"/>
      <w:bookmarkStart w:id="300" w:name="_Toc49430683"/>
      <w:bookmarkStart w:id="301" w:name="_Toc49750460"/>
      <w:bookmarkStart w:id="302" w:name="_Toc49750710"/>
      <w:bookmarkStart w:id="303" w:name="_Toc49750738"/>
      <w:bookmarkStart w:id="304" w:name="_Toc55284824"/>
      <w:bookmarkStart w:id="305" w:name="_Toc55298842"/>
      <w:bookmarkStart w:id="306" w:name="_Toc55373823"/>
      <w:bookmarkStart w:id="307" w:name="_Toc55373996"/>
      <w:bookmarkStart w:id="308" w:name="_Toc55375133"/>
      <w:bookmarkStart w:id="309" w:name="_Toc55396541"/>
      <w:bookmarkStart w:id="310" w:name="_Toc65230537"/>
      <w:bookmarkStart w:id="311" w:name="_Toc65230775"/>
      <w:bookmarkStart w:id="312" w:name="_Toc65232059"/>
      <w:bookmarkStart w:id="313" w:name="_Toc65232304"/>
      <w:bookmarkStart w:id="314" w:name="_Toc66716163"/>
      <w:bookmarkStart w:id="315" w:name="_Toc71097208"/>
      <w:bookmarkStart w:id="316" w:name="_Toc71097239"/>
      <w:bookmarkStart w:id="317" w:name="_Toc71097314"/>
      <w:bookmarkStart w:id="318" w:name="_Toc71108054"/>
      <w:bookmarkStart w:id="319" w:name="_Toc79055248"/>
      <w:bookmarkStart w:id="320" w:name="_Toc79055279"/>
      <w:bookmarkStart w:id="321" w:name="_Toc79060170"/>
      <w:bookmarkStart w:id="322" w:name="_Toc79060457"/>
      <w:bookmarkStart w:id="323" w:name="_Toc81307814"/>
      <w:bookmarkStart w:id="324" w:name="_Toc83376475"/>
      <w:bookmarkStart w:id="325" w:name="_Toc86386714"/>
      <w:bookmarkStart w:id="326" w:name="_Toc86405400"/>
      <w:bookmarkStart w:id="327" w:name="_Toc98162430"/>
      <w:bookmarkStart w:id="328" w:name="_Toc98162462"/>
      <w:bookmarkStart w:id="329" w:name="_Toc98234988"/>
      <w:bookmarkStart w:id="330" w:name="_Toc98235183"/>
      <w:bookmarkStart w:id="331" w:name="_Toc98235268"/>
      <w:bookmarkStart w:id="332" w:name="_Toc98757138"/>
      <w:bookmarkStart w:id="333" w:name="_Toc101874693"/>
      <w:bookmarkStart w:id="334" w:name="_Toc101954149"/>
      <w:bookmarkStart w:id="335" w:name="_Toc101971966"/>
      <w:bookmarkStart w:id="336" w:name="_Toc101974058"/>
      <w:bookmarkStart w:id="337" w:name="_Toc102039743"/>
      <w:bookmarkStart w:id="338" w:name="_Toc102039781"/>
      <w:bookmarkStart w:id="339" w:name="_Toc102039821"/>
      <w:bookmarkStart w:id="340" w:name="_Toc102039852"/>
      <w:bookmarkStart w:id="341" w:name="_Toc102040910"/>
      <w:bookmarkStart w:id="342" w:name="_Toc102477758"/>
      <w:bookmarkStart w:id="343" w:name="_Toc102477789"/>
      <w:bookmarkStart w:id="344" w:name="_Toc109824819"/>
      <w:bookmarkStart w:id="345" w:name="_Toc109828775"/>
      <w:bookmarkStart w:id="346" w:name="_Toc109828838"/>
      <w:bookmarkStart w:id="347" w:name="_Toc109829014"/>
      <w:bookmarkStart w:id="348" w:name="_Toc109829045"/>
      <w:bookmarkStart w:id="349" w:name="_Toc109833889"/>
      <w:bookmarkStart w:id="350" w:name="_Toc110237432"/>
      <w:bookmarkStart w:id="351" w:name="_Toc117775309"/>
      <w:bookmarkStart w:id="352" w:name="_Toc117781278"/>
      <w:bookmarkStart w:id="353" w:name="_Toc125620807"/>
      <w:bookmarkStart w:id="354" w:name="_Toc125620838"/>
      <w:bookmarkStart w:id="355" w:name="_Toc125620869"/>
      <w:bookmarkStart w:id="356" w:name="_Toc125620905"/>
      <w:bookmarkStart w:id="357" w:name="_Toc125620936"/>
      <w:bookmarkStart w:id="358" w:name="_Toc125620969"/>
      <w:bookmarkStart w:id="359" w:name="_Toc125621022"/>
      <w:bookmarkStart w:id="360" w:name="_Toc125621076"/>
      <w:bookmarkStart w:id="361" w:name="_Toc125623554"/>
      <w:bookmarkStart w:id="362" w:name="_Toc125623586"/>
      <w:bookmarkStart w:id="363" w:name="_Toc125623618"/>
      <w:bookmarkStart w:id="364" w:name="_Toc125970364"/>
      <w:bookmarkStart w:id="365" w:name="_Toc125970396"/>
      <w:bookmarkStart w:id="366" w:name="_Toc127365847"/>
      <w:bookmarkStart w:id="367" w:name="_Toc127434599"/>
      <w:bookmarkStart w:id="368" w:name="_Toc127436966"/>
      <w:bookmarkStart w:id="369" w:name="_Toc127437328"/>
      <w:bookmarkStart w:id="370" w:name="_Toc127437681"/>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41832A88" w14:textId="77777777" w:rsidR="008C0B31" w:rsidRPr="00FC4688" w:rsidRDefault="008C0B31" w:rsidP="00BC50A6">
      <w:pPr>
        <w:pStyle w:val="Prrafodelista"/>
        <w:numPr>
          <w:ilvl w:val="0"/>
          <w:numId w:val="1"/>
        </w:numPr>
        <w:ind w:left="426" w:hanging="426"/>
        <w:outlineLvl w:val="0"/>
        <w:rPr>
          <w:rFonts w:eastAsiaTheme="majorEastAsia" w:cs="Times New Roman"/>
          <w:b/>
          <w:bCs/>
          <w:sz w:val="24"/>
          <w:szCs w:val="26"/>
          <w:lang w:val="es-ES_tradnl" w:eastAsia="es-ES"/>
        </w:rPr>
      </w:pPr>
      <w:bookmarkStart w:id="371" w:name="_Toc127437682"/>
      <w:r w:rsidRPr="00FC4688">
        <w:rPr>
          <w:rFonts w:eastAsiaTheme="majorEastAsia" w:cs="Times New Roman"/>
          <w:b/>
          <w:bCs/>
          <w:sz w:val="24"/>
          <w:szCs w:val="26"/>
          <w:lang w:val="es-ES_tradnl" w:eastAsia="es-ES"/>
        </w:rPr>
        <w:t>Gasto Público</w:t>
      </w:r>
      <w:r w:rsidR="00CE4BA6" w:rsidRPr="00FC4688">
        <w:rPr>
          <w:rFonts w:eastAsiaTheme="majorEastAsia" w:cs="Times New Roman"/>
          <w:b/>
          <w:bCs/>
          <w:sz w:val="24"/>
          <w:szCs w:val="26"/>
          <w:lang w:val="es-ES_tradnl" w:eastAsia="es-ES"/>
        </w:rPr>
        <w:t xml:space="preserve"> del Gobierno Central Presupuestario</w:t>
      </w:r>
      <w:bookmarkEnd w:id="371"/>
    </w:p>
    <w:p w14:paraId="60038496" w14:textId="740A58F3" w:rsidR="0039614C" w:rsidRPr="00FC4688" w:rsidRDefault="0039614C" w:rsidP="00B57C32">
      <w:pPr>
        <w:rPr>
          <w:rFonts w:eastAsiaTheme="majorEastAsia" w:cs="Times New Roman"/>
          <w:b/>
          <w:bCs/>
          <w:sz w:val="24"/>
          <w:szCs w:val="26"/>
          <w:lang w:val="es-ES_tradnl"/>
        </w:rPr>
      </w:pPr>
      <w:r w:rsidRPr="00FC4688">
        <w:rPr>
          <w:rFonts w:eastAsiaTheme="majorEastAsia"/>
          <w:noProof/>
          <w:lang w:eastAsia="es-GT"/>
        </w:rPr>
        <w:drawing>
          <wp:inline distT="0" distB="0" distL="0" distR="0" wp14:anchorId="75D3D81E" wp14:editId="35A15FFD">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025EE4" w14:textId="155C5AA9" w:rsidR="00770433" w:rsidRPr="00FC4688"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372" w:name="_Toc471986932"/>
      <w:bookmarkStart w:id="373" w:name="_Toc471987067"/>
      <w:bookmarkStart w:id="374" w:name="_Toc471987115"/>
      <w:bookmarkStart w:id="375" w:name="_Toc471987137"/>
      <w:bookmarkStart w:id="376" w:name="_Toc472082165"/>
      <w:bookmarkStart w:id="377" w:name="_Toc472082197"/>
      <w:bookmarkStart w:id="378" w:name="_Toc472089913"/>
      <w:bookmarkStart w:id="379" w:name="_Toc472089936"/>
      <w:bookmarkStart w:id="380" w:name="_Toc505346063"/>
      <w:bookmarkStart w:id="381" w:name="_Toc505349878"/>
      <w:bookmarkStart w:id="382" w:name="_Toc534985836"/>
      <w:bookmarkStart w:id="383" w:name="_Toc534988229"/>
      <w:bookmarkStart w:id="384" w:name="_Toc31611549"/>
      <w:bookmarkStart w:id="385" w:name="_Toc31612768"/>
      <w:bookmarkStart w:id="386" w:name="_Toc31612800"/>
      <w:bookmarkStart w:id="387" w:name="_Toc31614826"/>
      <w:bookmarkStart w:id="388" w:name="_Toc31614858"/>
      <w:bookmarkStart w:id="389" w:name="_Toc31618695"/>
      <w:bookmarkStart w:id="390" w:name="_Toc31618728"/>
      <w:bookmarkStart w:id="391" w:name="_Toc31624504"/>
      <w:bookmarkStart w:id="392" w:name="_Toc31625356"/>
      <w:bookmarkStart w:id="393" w:name="_Toc31626811"/>
      <w:bookmarkStart w:id="394" w:name="_Toc31811262"/>
      <w:bookmarkStart w:id="395" w:name="_Toc31811707"/>
      <w:bookmarkStart w:id="396" w:name="_Toc31971870"/>
      <w:bookmarkStart w:id="397" w:name="_Toc32230892"/>
      <w:bookmarkStart w:id="398" w:name="_Toc33109788"/>
      <w:bookmarkStart w:id="399" w:name="_Toc33109831"/>
      <w:bookmarkStart w:id="400" w:name="_Toc33180552"/>
      <w:bookmarkStart w:id="401" w:name="_Toc33180646"/>
      <w:bookmarkStart w:id="402" w:name="_Toc33193543"/>
      <w:bookmarkStart w:id="403" w:name="_Toc33193582"/>
      <w:bookmarkStart w:id="404" w:name="_Toc33196779"/>
      <w:bookmarkStart w:id="405" w:name="_Toc40691755"/>
      <w:bookmarkStart w:id="406" w:name="_Toc40959156"/>
      <w:bookmarkStart w:id="407" w:name="_Toc40975990"/>
      <w:bookmarkStart w:id="408" w:name="_Toc40976059"/>
      <w:bookmarkStart w:id="409" w:name="_Toc40993314"/>
      <w:bookmarkStart w:id="410" w:name="_Toc40993696"/>
      <w:bookmarkStart w:id="411" w:name="_Toc41037572"/>
      <w:bookmarkStart w:id="412" w:name="_Toc41254132"/>
      <w:bookmarkStart w:id="413" w:name="_Toc41254164"/>
      <w:bookmarkStart w:id="414" w:name="_Toc41254184"/>
      <w:bookmarkStart w:id="415" w:name="_Toc42023958"/>
      <w:bookmarkStart w:id="416" w:name="_Toc42024010"/>
      <w:bookmarkStart w:id="417" w:name="_Toc42069108"/>
      <w:bookmarkStart w:id="418" w:name="_Toc49422054"/>
      <w:bookmarkStart w:id="419" w:name="_Toc49422080"/>
      <w:bookmarkStart w:id="420" w:name="_Toc49430659"/>
      <w:bookmarkStart w:id="421" w:name="_Toc49430685"/>
      <w:bookmarkStart w:id="422" w:name="_Toc49750462"/>
      <w:bookmarkStart w:id="423" w:name="_Toc49750712"/>
      <w:bookmarkStart w:id="424" w:name="_Toc49750740"/>
      <w:bookmarkStart w:id="425" w:name="_Toc55284826"/>
      <w:bookmarkStart w:id="426" w:name="_Toc55298844"/>
      <w:bookmarkStart w:id="427" w:name="_Toc55373825"/>
      <w:bookmarkStart w:id="428" w:name="_Toc55373998"/>
      <w:bookmarkStart w:id="429" w:name="_Toc55375135"/>
      <w:bookmarkStart w:id="430" w:name="_Toc55396543"/>
      <w:bookmarkStart w:id="431" w:name="_Toc65230539"/>
      <w:bookmarkStart w:id="432" w:name="_Toc65230777"/>
      <w:bookmarkStart w:id="433" w:name="_Toc65232061"/>
      <w:bookmarkStart w:id="434" w:name="_Toc65232306"/>
      <w:bookmarkStart w:id="435" w:name="_Toc66716165"/>
      <w:bookmarkStart w:id="436" w:name="_Toc71097210"/>
      <w:bookmarkStart w:id="437" w:name="_Toc71097241"/>
      <w:bookmarkStart w:id="438" w:name="_Toc71097316"/>
      <w:bookmarkStart w:id="439" w:name="_Toc71108056"/>
      <w:bookmarkStart w:id="440" w:name="_Toc79055250"/>
      <w:bookmarkStart w:id="441" w:name="_Toc79055281"/>
      <w:bookmarkStart w:id="442" w:name="_Toc79060172"/>
      <w:bookmarkStart w:id="443" w:name="_Toc79060459"/>
      <w:bookmarkStart w:id="444" w:name="_Toc81307816"/>
      <w:bookmarkStart w:id="445" w:name="_Toc83376477"/>
      <w:bookmarkStart w:id="446" w:name="_Toc86386716"/>
      <w:bookmarkStart w:id="447" w:name="_Toc86405402"/>
      <w:bookmarkStart w:id="448" w:name="_Toc98162432"/>
      <w:bookmarkStart w:id="449" w:name="_Toc98162464"/>
      <w:bookmarkStart w:id="450" w:name="_Toc98234990"/>
      <w:bookmarkStart w:id="451" w:name="_Toc98235185"/>
      <w:bookmarkStart w:id="452" w:name="_Toc98235270"/>
      <w:bookmarkStart w:id="453" w:name="_Toc98757140"/>
      <w:bookmarkStart w:id="454" w:name="_Toc101874695"/>
      <w:bookmarkStart w:id="455" w:name="_Toc101954151"/>
      <w:bookmarkStart w:id="456" w:name="_Toc101971968"/>
      <w:bookmarkStart w:id="457" w:name="_Toc101974060"/>
      <w:bookmarkStart w:id="458" w:name="_Toc102039745"/>
      <w:bookmarkStart w:id="459" w:name="_Toc102039783"/>
      <w:bookmarkStart w:id="460" w:name="_Toc102039823"/>
      <w:bookmarkStart w:id="461" w:name="_Toc102039854"/>
      <w:bookmarkStart w:id="462" w:name="_Toc102040912"/>
      <w:bookmarkStart w:id="463" w:name="_Toc102477760"/>
      <w:bookmarkStart w:id="464" w:name="_Toc102477791"/>
      <w:bookmarkStart w:id="465" w:name="_Toc109824821"/>
      <w:bookmarkStart w:id="466" w:name="_Toc109828777"/>
      <w:bookmarkStart w:id="467" w:name="_Toc109828840"/>
      <w:bookmarkStart w:id="468" w:name="_Toc109829016"/>
      <w:bookmarkStart w:id="469" w:name="_Toc109829047"/>
      <w:bookmarkStart w:id="470" w:name="_Toc109833891"/>
      <w:bookmarkStart w:id="471" w:name="_Toc110237434"/>
      <w:bookmarkStart w:id="472" w:name="_Toc117775311"/>
      <w:bookmarkStart w:id="473" w:name="_Toc117781280"/>
      <w:bookmarkStart w:id="474" w:name="_Toc125620809"/>
      <w:bookmarkStart w:id="475" w:name="_Toc125620840"/>
      <w:bookmarkStart w:id="476" w:name="_Toc125620871"/>
      <w:bookmarkStart w:id="477" w:name="_Toc125620907"/>
      <w:bookmarkStart w:id="478" w:name="_Toc125620938"/>
      <w:bookmarkStart w:id="479" w:name="_Toc125620971"/>
      <w:bookmarkStart w:id="480" w:name="_Toc125621024"/>
      <w:bookmarkStart w:id="481" w:name="_Toc125621078"/>
      <w:bookmarkStart w:id="482" w:name="_Toc125623556"/>
      <w:bookmarkStart w:id="483" w:name="_Toc125623588"/>
      <w:bookmarkStart w:id="484" w:name="_Toc125623620"/>
      <w:bookmarkStart w:id="485" w:name="_Toc125970366"/>
      <w:bookmarkStart w:id="486" w:name="_Toc125970398"/>
      <w:bookmarkStart w:id="487" w:name="_Toc127365849"/>
      <w:bookmarkStart w:id="488" w:name="_Toc127434601"/>
      <w:bookmarkStart w:id="489" w:name="_Toc127436968"/>
      <w:bookmarkStart w:id="490" w:name="_Toc127437330"/>
      <w:bookmarkStart w:id="491" w:name="_Toc127437683"/>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FFEEFA0" w14:textId="77777777" w:rsidR="00770433" w:rsidRPr="00FC4688"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492" w:name="_Toc472082166"/>
      <w:bookmarkStart w:id="493" w:name="_Toc472082198"/>
      <w:bookmarkStart w:id="494" w:name="_Toc472089914"/>
      <w:bookmarkStart w:id="495" w:name="_Toc472089937"/>
      <w:bookmarkStart w:id="496" w:name="_Toc505346064"/>
      <w:bookmarkStart w:id="497" w:name="_Toc505349879"/>
      <w:bookmarkStart w:id="498" w:name="_Toc534985837"/>
      <w:bookmarkStart w:id="499" w:name="_Toc534988230"/>
      <w:bookmarkStart w:id="500" w:name="_Toc31611550"/>
      <w:bookmarkStart w:id="501" w:name="_Toc31612769"/>
      <w:bookmarkStart w:id="502" w:name="_Toc31612801"/>
      <w:bookmarkStart w:id="503" w:name="_Toc31614827"/>
      <w:bookmarkStart w:id="504" w:name="_Toc31614859"/>
      <w:bookmarkStart w:id="505" w:name="_Toc31618696"/>
      <w:bookmarkStart w:id="506" w:name="_Toc31618729"/>
      <w:bookmarkStart w:id="507" w:name="_Toc31624505"/>
      <w:bookmarkStart w:id="508" w:name="_Toc31625357"/>
      <w:bookmarkStart w:id="509" w:name="_Toc31626812"/>
      <w:bookmarkStart w:id="510" w:name="_Toc31811263"/>
      <w:bookmarkStart w:id="511" w:name="_Toc31811708"/>
      <w:bookmarkStart w:id="512" w:name="_Toc31971871"/>
      <w:bookmarkStart w:id="513" w:name="_Toc32230893"/>
      <w:bookmarkStart w:id="514" w:name="_Toc33109789"/>
      <w:bookmarkStart w:id="515" w:name="_Toc33109832"/>
      <w:bookmarkStart w:id="516" w:name="_Toc33180553"/>
      <w:bookmarkStart w:id="517" w:name="_Toc33180647"/>
      <w:bookmarkStart w:id="518" w:name="_Toc33193544"/>
      <w:bookmarkStart w:id="519" w:name="_Toc33193583"/>
      <w:bookmarkStart w:id="520" w:name="_Toc33196780"/>
      <w:bookmarkStart w:id="521" w:name="_Toc40691756"/>
      <w:bookmarkStart w:id="522" w:name="_Toc40959157"/>
      <w:bookmarkStart w:id="523" w:name="_Toc40975991"/>
      <w:bookmarkStart w:id="524" w:name="_Toc40976060"/>
      <w:bookmarkStart w:id="525" w:name="_Toc40993315"/>
      <w:bookmarkStart w:id="526" w:name="_Toc40993697"/>
      <w:bookmarkStart w:id="527" w:name="_Toc41037573"/>
      <w:bookmarkStart w:id="528" w:name="_Toc41254133"/>
      <w:bookmarkStart w:id="529" w:name="_Toc41254165"/>
      <w:bookmarkStart w:id="530" w:name="_Toc41254185"/>
      <w:bookmarkStart w:id="531" w:name="_Toc42023959"/>
      <w:bookmarkStart w:id="532" w:name="_Toc42024011"/>
      <w:bookmarkStart w:id="533" w:name="_Toc42069109"/>
      <w:bookmarkStart w:id="534" w:name="_Toc49422055"/>
      <w:bookmarkStart w:id="535" w:name="_Toc49422081"/>
      <w:bookmarkStart w:id="536" w:name="_Toc49430660"/>
      <w:bookmarkStart w:id="537" w:name="_Toc49430686"/>
      <w:bookmarkStart w:id="538" w:name="_Toc49750463"/>
      <w:bookmarkStart w:id="539" w:name="_Toc49750713"/>
      <w:bookmarkStart w:id="540" w:name="_Toc49750741"/>
      <w:bookmarkStart w:id="541" w:name="_Toc55284827"/>
      <w:bookmarkStart w:id="542" w:name="_Toc55298845"/>
      <w:bookmarkStart w:id="543" w:name="_Toc55373826"/>
      <w:bookmarkStart w:id="544" w:name="_Toc55373999"/>
      <w:bookmarkStart w:id="545" w:name="_Toc55375136"/>
      <w:bookmarkStart w:id="546" w:name="_Toc55396544"/>
      <w:bookmarkStart w:id="547" w:name="_Toc65230540"/>
      <w:bookmarkStart w:id="548" w:name="_Toc65230778"/>
      <w:bookmarkStart w:id="549" w:name="_Toc65232062"/>
      <w:bookmarkStart w:id="550" w:name="_Toc65232307"/>
      <w:bookmarkStart w:id="551" w:name="_Toc66716166"/>
      <w:bookmarkStart w:id="552" w:name="_Toc71097211"/>
      <w:bookmarkStart w:id="553" w:name="_Toc71097242"/>
      <w:bookmarkStart w:id="554" w:name="_Toc71097317"/>
      <w:bookmarkStart w:id="555" w:name="_Toc71108057"/>
      <w:bookmarkStart w:id="556" w:name="_Toc79055251"/>
      <w:bookmarkStart w:id="557" w:name="_Toc79055282"/>
      <w:bookmarkStart w:id="558" w:name="_Toc79060173"/>
      <w:bookmarkStart w:id="559" w:name="_Toc79060460"/>
      <w:bookmarkStart w:id="560" w:name="_Toc81307817"/>
      <w:bookmarkStart w:id="561" w:name="_Toc83376478"/>
      <w:bookmarkStart w:id="562" w:name="_Toc86386717"/>
      <w:bookmarkStart w:id="563" w:name="_Toc86405403"/>
      <w:bookmarkStart w:id="564" w:name="_Toc98162433"/>
      <w:bookmarkStart w:id="565" w:name="_Toc98162465"/>
      <w:bookmarkStart w:id="566" w:name="_Toc98234991"/>
      <w:bookmarkStart w:id="567" w:name="_Toc98235186"/>
      <w:bookmarkStart w:id="568" w:name="_Toc98235271"/>
      <w:bookmarkStart w:id="569" w:name="_Toc98757141"/>
      <w:bookmarkStart w:id="570" w:name="_Toc101874696"/>
      <w:bookmarkStart w:id="571" w:name="_Toc101954152"/>
      <w:bookmarkStart w:id="572" w:name="_Toc101971969"/>
      <w:bookmarkStart w:id="573" w:name="_Toc101974061"/>
      <w:bookmarkStart w:id="574" w:name="_Toc102039746"/>
      <w:bookmarkStart w:id="575" w:name="_Toc102039784"/>
      <w:bookmarkStart w:id="576" w:name="_Toc102039824"/>
      <w:bookmarkStart w:id="577" w:name="_Toc102039855"/>
      <w:bookmarkStart w:id="578" w:name="_Toc102040913"/>
      <w:bookmarkStart w:id="579" w:name="_Toc102477761"/>
      <w:bookmarkStart w:id="580" w:name="_Toc102477792"/>
      <w:bookmarkStart w:id="581" w:name="_Toc109824822"/>
      <w:bookmarkStart w:id="582" w:name="_Toc109828778"/>
      <w:bookmarkStart w:id="583" w:name="_Toc109828841"/>
      <w:bookmarkStart w:id="584" w:name="_Toc109829017"/>
      <w:bookmarkStart w:id="585" w:name="_Toc109829048"/>
      <w:bookmarkStart w:id="586" w:name="_Toc109833892"/>
      <w:bookmarkStart w:id="587" w:name="_Toc110237435"/>
      <w:bookmarkStart w:id="588" w:name="_Toc117775312"/>
      <w:bookmarkStart w:id="589" w:name="_Toc117781281"/>
      <w:bookmarkStart w:id="590" w:name="_Toc125620810"/>
      <w:bookmarkStart w:id="591" w:name="_Toc125620841"/>
      <w:bookmarkStart w:id="592" w:name="_Toc125620872"/>
      <w:bookmarkStart w:id="593" w:name="_Toc125620908"/>
      <w:bookmarkStart w:id="594" w:name="_Toc125620939"/>
      <w:bookmarkStart w:id="595" w:name="_Toc125620972"/>
      <w:bookmarkStart w:id="596" w:name="_Toc125621025"/>
      <w:bookmarkStart w:id="597" w:name="_Toc125621079"/>
      <w:bookmarkStart w:id="598" w:name="_Toc125623557"/>
      <w:bookmarkStart w:id="599" w:name="_Toc125623589"/>
      <w:bookmarkStart w:id="600" w:name="_Toc125623621"/>
      <w:bookmarkStart w:id="601" w:name="_Toc125970367"/>
      <w:bookmarkStart w:id="602" w:name="_Toc125970399"/>
      <w:bookmarkStart w:id="603" w:name="_Toc127365850"/>
      <w:bookmarkStart w:id="604" w:name="_Toc127434602"/>
      <w:bookmarkStart w:id="605" w:name="_Toc127436969"/>
      <w:bookmarkStart w:id="606" w:name="_Toc127437331"/>
      <w:bookmarkStart w:id="607" w:name="_Toc127437684"/>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0F095CD4" w14:textId="77777777" w:rsidR="005E3A61" w:rsidRPr="005E3A61" w:rsidRDefault="005E3A61" w:rsidP="005E3A61">
      <w:pPr>
        <w:pStyle w:val="Prrafodelista"/>
        <w:keepNext/>
        <w:keepLines/>
        <w:numPr>
          <w:ilvl w:val="0"/>
          <w:numId w:val="11"/>
        </w:numPr>
        <w:tabs>
          <w:tab w:val="left" w:pos="426"/>
        </w:tabs>
        <w:spacing w:after="120"/>
        <w:contextualSpacing w:val="0"/>
        <w:outlineLvl w:val="1"/>
        <w:rPr>
          <w:rFonts w:eastAsiaTheme="majorEastAsia" w:cs="Times New Roman"/>
          <w:b/>
          <w:bCs/>
          <w:vanish/>
          <w:sz w:val="24"/>
          <w:szCs w:val="26"/>
          <w:lang w:eastAsia="es-ES"/>
        </w:rPr>
      </w:pPr>
      <w:bookmarkStart w:id="608" w:name="_Toc125970400"/>
      <w:bookmarkStart w:id="609" w:name="_Toc127437685"/>
      <w:bookmarkEnd w:id="609"/>
    </w:p>
    <w:p w14:paraId="44FA4352" w14:textId="7AFB200C" w:rsidR="008F703E" w:rsidRDefault="00471E12" w:rsidP="005E3A61">
      <w:pPr>
        <w:pStyle w:val="Ttulo2"/>
        <w:numPr>
          <w:ilvl w:val="1"/>
          <w:numId w:val="11"/>
        </w:numPr>
        <w:tabs>
          <w:tab w:val="left" w:pos="426"/>
        </w:tabs>
        <w:spacing w:before="0"/>
        <w:rPr>
          <w:rFonts w:cs="Times New Roman"/>
          <w:sz w:val="24"/>
        </w:rPr>
      </w:pPr>
      <w:bookmarkStart w:id="610" w:name="_Toc127437686"/>
      <w:r w:rsidRPr="00471E12">
        <w:rPr>
          <w:rFonts w:ascii="Times New Roman" w:hAnsi="Times New Roman" w:cs="Times New Roman"/>
          <w:color w:val="auto"/>
          <w:sz w:val="24"/>
        </w:rPr>
        <w:t>Gastos extraordinarios en 2022 aceleran la ejecución del gasto</w:t>
      </w:r>
      <w:bookmarkEnd w:id="608"/>
      <w:bookmarkEnd w:id="610"/>
    </w:p>
    <w:p w14:paraId="10EE0514" w14:textId="4FF56EF0" w:rsidR="00AF3DBB" w:rsidRPr="00FC4688" w:rsidRDefault="00313E10" w:rsidP="00CD34D6">
      <w:pPr>
        <w:rPr>
          <w:rFonts w:cs="Times New Roman"/>
          <w:szCs w:val="22"/>
        </w:rPr>
      </w:pPr>
      <w:r>
        <w:rPr>
          <w:rFonts w:cs="Times New Roman"/>
          <w:szCs w:val="22"/>
        </w:rPr>
        <w:t>E</w:t>
      </w:r>
      <w:r w:rsidR="00AB2C74">
        <w:rPr>
          <w:rFonts w:cs="Times New Roman"/>
          <w:szCs w:val="22"/>
        </w:rPr>
        <w:t xml:space="preserve">s oportuno </w:t>
      </w:r>
      <w:r w:rsidR="00216E57">
        <w:rPr>
          <w:rFonts w:cs="Times New Roman"/>
          <w:szCs w:val="22"/>
        </w:rPr>
        <w:t xml:space="preserve">señalar </w:t>
      </w:r>
      <w:r w:rsidR="00F94F2F">
        <w:rPr>
          <w:rFonts w:cs="Times New Roman"/>
          <w:szCs w:val="22"/>
        </w:rPr>
        <w:t>que,</w:t>
      </w:r>
      <w:r w:rsidR="004A3E1B">
        <w:rPr>
          <w:rFonts w:cs="Times New Roman"/>
          <w:szCs w:val="22"/>
        </w:rPr>
        <w:t xml:space="preserve"> en los años 2020 y 2021, el </w:t>
      </w:r>
      <w:r w:rsidR="009F5B80" w:rsidRPr="009F5B80">
        <w:rPr>
          <w:rFonts w:cs="Times New Roman"/>
          <w:szCs w:val="22"/>
        </w:rPr>
        <w:t xml:space="preserve">Proyecto de Presupuesto General de Ingresos y Egresos del Estado no había sido aprobado por el Congreso de la </w:t>
      </w:r>
      <w:r w:rsidR="00AF3DBB" w:rsidRPr="009F5B80">
        <w:rPr>
          <w:rFonts w:cs="Times New Roman"/>
          <w:szCs w:val="22"/>
        </w:rPr>
        <w:t xml:space="preserve">República </w:t>
      </w:r>
      <w:r w:rsidR="00AF3DBB">
        <w:rPr>
          <w:rFonts w:cs="Times New Roman"/>
          <w:szCs w:val="22"/>
        </w:rPr>
        <w:t>y</w:t>
      </w:r>
      <w:r w:rsidR="009F5B80">
        <w:rPr>
          <w:rFonts w:cs="Times New Roman"/>
          <w:szCs w:val="22"/>
        </w:rPr>
        <w:t xml:space="preserve"> el</w:t>
      </w:r>
      <w:r w:rsidR="00AD3654">
        <w:rPr>
          <w:rFonts w:cs="Times New Roman"/>
          <w:szCs w:val="22"/>
        </w:rPr>
        <w:t xml:space="preserve"> 2022 </w:t>
      </w:r>
      <w:r w:rsidR="009F5B80">
        <w:rPr>
          <w:rFonts w:cs="Times New Roman"/>
          <w:szCs w:val="22"/>
        </w:rPr>
        <w:t xml:space="preserve">contó con la ventaja </w:t>
      </w:r>
      <w:r w:rsidR="0042275D">
        <w:rPr>
          <w:rFonts w:cs="Times New Roman"/>
          <w:szCs w:val="22"/>
        </w:rPr>
        <w:t>de un presupuesto aprobado</w:t>
      </w:r>
      <w:r w:rsidR="007F2F49">
        <w:rPr>
          <w:rFonts w:cs="Times New Roman"/>
          <w:szCs w:val="22"/>
        </w:rPr>
        <w:t xml:space="preserve"> </w:t>
      </w:r>
      <w:r w:rsidR="002302B8">
        <w:rPr>
          <w:rFonts w:cs="Times New Roman"/>
          <w:szCs w:val="22"/>
        </w:rPr>
        <w:t>e</w:t>
      </w:r>
      <w:r w:rsidR="007F2F49">
        <w:rPr>
          <w:rFonts w:cs="Times New Roman"/>
          <w:szCs w:val="22"/>
        </w:rPr>
        <w:t xml:space="preserve">l cual </w:t>
      </w:r>
      <w:r w:rsidR="00083EE3">
        <w:rPr>
          <w:rFonts w:cs="Times New Roman"/>
          <w:szCs w:val="22"/>
        </w:rPr>
        <w:t xml:space="preserve">contribuye </w:t>
      </w:r>
      <w:r w:rsidR="00FC6823">
        <w:rPr>
          <w:rFonts w:cs="Times New Roman"/>
          <w:szCs w:val="22"/>
        </w:rPr>
        <w:t xml:space="preserve">a tener un mejor </w:t>
      </w:r>
      <w:r w:rsidR="007F2F49">
        <w:rPr>
          <w:rFonts w:cs="Times New Roman"/>
          <w:szCs w:val="22"/>
        </w:rPr>
        <w:t xml:space="preserve">dinamismo </w:t>
      </w:r>
      <w:r w:rsidR="00AF3DBB">
        <w:rPr>
          <w:rFonts w:cs="Times New Roman"/>
          <w:szCs w:val="22"/>
        </w:rPr>
        <w:t xml:space="preserve">en la ejecución </w:t>
      </w:r>
      <w:r w:rsidR="007F2F49">
        <w:rPr>
          <w:rFonts w:cs="Times New Roman"/>
          <w:szCs w:val="22"/>
        </w:rPr>
        <w:t>d</w:t>
      </w:r>
      <w:r w:rsidR="0042275D">
        <w:rPr>
          <w:rFonts w:cs="Times New Roman"/>
          <w:szCs w:val="22"/>
        </w:rPr>
        <w:t>el gasto público del Gobierno Central Presupuestario</w:t>
      </w:r>
      <w:r w:rsidR="00AF3DBB">
        <w:rPr>
          <w:rFonts w:cs="Times New Roman"/>
          <w:szCs w:val="22"/>
        </w:rPr>
        <w:t>.</w:t>
      </w:r>
      <w:r w:rsidR="004D1CBA">
        <w:rPr>
          <w:rFonts w:cs="Times New Roman"/>
          <w:szCs w:val="22"/>
        </w:rPr>
        <w:t xml:space="preserve"> </w:t>
      </w:r>
      <w:r w:rsidR="00B25D5E">
        <w:rPr>
          <w:rFonts w:cs="Times New Roman"/>
          <w:szCs w:val="22"/>
        </w:rPr>
        <w:t>As</w:t>
      </w:r>
      <w:r w:rsidR="00E5464B">
        <w:rPr>
          <w:rFonts w:cs="Times New Roman"/>
          <w:szCs w:val="22"/>
        </w:rPr>
        <w:t>i</w:t>
      </w:r>
      <w:r w:rsidR="00B25D5E">
        <w:rPr>
          <w:rFonts w:cs="Times New Roman"/>
          <w:szCs w:val="22"/>
        </w:rPr>
        <w:t>mismo, es importante resaltar que el gasto 2022 no estuvo influenciado por la crisis sanitaria y económica del COVID-19</w:t>
      </w:r>
      <w:r w:rsidR="007811EE">
        <w:rPr>
          <w:rFonts w:cs="Times New Roman"/>
          <w:szCs w:val="22"/>
        </w:rPr>
        <w:t xml:space="preserve"> </w:t>
      </w:r>
      <w:r w:rsidR="00E43382">
        <w:rPr>
          <w:rFonts w:cs="Times New Roman"/>
          <w:szCs w:val="22"/>
        </w:rPr>
        <w:t xml:space="preserve">como lo estuvo en </w:t>
      </w:r>
      <w:r w:rsidR="00320553">
        <w:rPr>
          <w:rFonts w:cs="Times New Roman"/>
          <w:szCs w:val="22"/>
        </w:rPr>
        <w:t>el año anterior</w:t>
      </w:r>
      <w:r w:rsidR="00E43382">
        <w:rPr>
          <w:rFonts w:cs="Times New Roman"/>
          <w:szCs w:val="22"/>
        </w:rPr>
        <w:t xml:space="preserve"> y,</w:t>
      </w:r>
      <w:r w:rsidR="00B73735">
        <w:rPr>
          <w:rFonts w:cs="Times New Roman"/>
          <w:szCs w:val="22"/>
        </w:rPr>
        <w:t xml:space="preserve"> por lo tanto, el gasto destinado a la vacuna contra el COVID-19 fue significativamente menor </w:t>
      </w:r>
      <w:r w:rsidR="00E744AB">
        <w:rPr>
          <w:rFonts w:cs="Times New Roman"/>
          <w:szCs w:val="22"/>
        </w:rPr>
        <w:t>y habiendo un mayor enfoque en los servicios de prevención y tratamiento.</w:t>
      </w:r>
    </w:p>
    <w:p w14:paraId="342F1DC8" w14:textId="4096885D" w:rsidR="00393D7D" w:rsidRDefault="00393D7D" w:rsidP="00CD34D6">
      <w:pPr>
        <w:rPr>
          <w:rFonts w:cs="Times New Roman"/>
          <w:szCs w:val="22"/>
        </w:rPr>
      </w:pPr>
    </w:p>
    <w:p w14:paraId="276705BF" w14:textId="2D98A078" w:rsidR="00E43382" w:rsidRDefault="002F4C3B" w:rsidP="00CD34D6">
      <w:pPr>
        <w:rPr>
          <w:rFonts w:cs="Times New Roman"/>
          <w:szCs w:val="22"/>
        </w:rPr>
      </w:pPr>
      <w:r>
        <w:rPr>
          <w:rFonts w:cs="Times New Roman"/>
          <w:szCs w:val="22"/>
        </w:rPr>
        <w:t>Otro factor por considerar</w:t>
      </w:r>
      <w:r w:rsidR="00320553">
        <w:rPr>
          <w:rFonts w:cs="Times New Roman"/>
          <w:szCs w:val="22"/>
        </w:rPr>
        <w:t xml:space="preserve"> que </w:t>
      </w:r>
      <w:r w:rsidR="003D3E06">
        <w:rPr>
          <w:rFonts w:cs="Times New Roman"/>
          <w:szCs w:val="22"/>
        </w:rPr>
        <w:t>impact</w:t>
      </w:r>
      <w:r w:rsidR="00C60816">
        <w:rPr>
          <w:rFonts w:cs="Times New Roman"/>
          <w:szCs w:val="22"/>
        </w:rPr>
        <w:t>ó</w:t>
      </w:r>
      <w:r w:rsidR="003D3E06">
        <w:rPr>
          <w:rFonts w:cs="Times New Roman"/>
          <w:szCs w:val="22"/>
        </w:rPr>
        <w:t xml:space="preserve"> en el comportamiento del gasto </w:t>
      </w:r>
      <w:r w:rsidR="003C22A4">
        <w:rPr>
          <w:rFonts w:cs="Times New Roman"/>
          <w:szCs w:val="22"/>
        </w:rPr>
        <w:t>público</w:t>
      </w:r>
      <w:r w:rsidR="003D3E06">
        <w:rPr>
          <w:rFonts w:cs="Times New Roman"/>
          <w:szCs w:val="22"/>
        </w:rPr>
        <w:t xml:space="preserve"> fue la volatilidad de los</w:t>
      </w:r>
      <w:r w:rsidR="00BC7248">
        <w:rPr>
          <w:rFonts w:cs="Times New Roman"/>
          <w:szCs w:val="22"/>
        </w:rPr>
        <w:t xml:space="preserve"> precios internacionales de ciertos </w:t>
      </w:r>
      <w:proofErr w:type="spellStart"/>
      <w:r w:rsidR="00BC7248">
        <w:rPr>
          <w:rFonts w:cs="Times New Roman"/>
          <w:szCs w:val="22"/>
        </w:rPr>
        <w:t>commodities</w:t>
      </w:r>
      <w:proofErr w:type="spellEnd"/>
      <w:r w:rsidR="00BC7248">
        <w:rPr>
          <w:rFonts w:cs="Times New Roman"/>
          <w:szCs w:val="22"/>
        </w:rPr>
        <w:t xml:space="preserve"> </w:t>
      </w:r>
      <w:r w:rsidR="00285D52">
        <w:rPr>
          <w:rFonts w:cs="Times New Roman"/>
          <w:szCs w:val="22"/>
        </w:rPr>
        <w:t xml:space="preserve">y la cual fue agravada por </w:t>
      </w:r>
      <w:r w:rsidR="00836844">
        <w:rPr>
          <w:rFonts w:cs="Times New Roman"/>
          <w:szCs w:val="22"/>
        </w:rPr>
        <w:t>la guerra entre Rusia y Ucrania</w:t>
      </w:r>
      <w:r w:rsidR="00285D52">
        <w:rPr>
          <w:rFonts w:cs="Times New Roman"/>
          <w:szCs w:val="22"/>
        </w:rPr>
        <w:t xml:space="preserve">. </w:t>
      </w:r>
      <w:r w:rsidR="004B4077">
        <w:rPr>
          <w:rFonts w:cs="Times New Roman"/>
          <w:szCs w:val="22"/>
        </w:rPr>
        <w:t>De</w:t>
      </w:r>
      <w:r w:rsidR="00D0471F">
        <w:rPr>
          <w:rFonts w:cs="Times New Roman"/>
          <w:szCs w:val="22"/>
        </w:rPr>
        <w:t xml:space="preserve"> esta cuenta fue necesario incorporar</w:t>
      </w:r>
      <w:r w:rsidR="004B4077">
        <w:rPr>
          <w:rFonts w:cs="Times New Roman"/>
          <w:szCs w:val="22"/>
        </w:rPr>
        <w:t xml:space="preserve"> y prorrogar subsidios</w:t>
      </w:r>
      <w:r w:rsidR="00D0471F">
        <w:rPr>
          <w:rFonts w:cs="Times New Roman"/>
          <w:szCs w:val="22"/>
        </w:rPr>
        <w:t xml:space="preserve"> a las gasolinas</w:t>
      </w:r>
      <w:r w:rsidR="004B4077">
        <w:rPr>
          <w:rFonts w:cs="Times New Roman"/>
          <w:szCs w:val="22"/>
        </w:rPr>
        <w:t>, el gas propano</w:t>
      </w:r>
      <w:r w:rsidR="00D0471F">
        <w:rPr>
          <w:rFonts w:cs="Times New Roman"/>
          <w:szCs w:val="22"/>
        </w:rPr>
        <w:t xml:space="preserve"> y la energía eléctrica.</w:t>
      </w:r>
    </w:p>
    <w:p w14:paraId="0ADB7857" w14:textId="77777777" w:rsidR="004D1CBA" w:rsidRDefault="004D1CBA" w:rsidP="00CD34D6">
      <w:pPr>
        <w:rPr>
          <w:rFonts w:cs="Times New Roman"/>
          <w:szCs w:val="22"/>
        </w:rPr>
      </w:pPr>
    </w:p>
    <w:p w14:paraId="62ECA8EE" w14:textId="6C1FE6B8" w:rsidR="004D1CBA" w:rsidRDefault="004D1CBA" w:rsidP="00CD34D6">
      <w:pPr>
        <w:rPr>
          <w:rFonts w:cs="Times New Roman"/>
          <w:szCs w:val="22"/>
        </w:rPr>
      </w:pPr>
      <w:r>
        <w:rPr>
          <w:rFonts w:cs="Times New Roman"/>
          <w:szCs w:val="22"/>
        </w:rPr>
        <w:t>Derivado de lo anterior, se observa que el gasto público del Gobierno Central Presupuestario al finalizar el 202</w:t>
      </w:r>
      <w:r w:rsidR="00352D70">
        <w:rPr>
          <w:rFonts w:cs="Times New Roman"/>
          <w:szCs w:val="22"/>
        </w:rPr>
        <w:t>2</w:t>
      </w:r>
      <w:r>
        <w:rPr>
          <w:rFonts w:cs="Times New Roman"/>
          <w:szCs w:val="22"/>
        </w:rPr>
        <w:t xml:space="preserve">, se </w:t>
      </w:r>
      <w:r w:rsidR="004B4077">
        <w:rPr>
          <w:rFonts w:cs="Times New Roman"/>
          <w:szCs w:val="22"/>
        </w:rPr>
        <w:t>situó</w:t>
      </w:r>
      <w:r>
        <w:rPr>
          <w:rFonts w:cs="Times New Roman"/>
          <w:szCs w:val="22"/>
        </w:rPr>
        <w:t xml:space="preserve"> en Q</w:t>
      </w:r>
      <w:r w:rsidRPr="00B261A0">
        <w:rPr>
          <w:rFonts w:cs="Times New Roman"/>
          <w:szCs w:val="22"/>
        </w:rPr>
        <w:t>103,298.7</w:t>
      </w:r>
      <w:r>
        <w:rPr>
          <w:rFonts w:cs="Times New Roman"/>
          <w:szCs w:val="22"/>
        </w:rPr>
        <w:t xml:space="preserve"> millones</w:t>
      </w:r>
      <w:r w:rsidR="0017533D">
        <w:rPr>
          <w:rFonts w:cs="Times New Roman"/>
          <w:szCs w:val="22"/>
        </w:rPr>
        <w:t xml:space="preserve">, representando </w:t>
      </w:r>
      <w:r>
        <w:rPr>
          <w:rFonts w:cs="Times New Roman"/>
          <w:szCs w:val="22"/>
        </w:rPr>
        <w:t>un incremento interanual de 17.0</w:t>
      </w:r>
      <w:r w:rsidRPr="00FC4688">
        <w:rPr>
          <w:rFonts w:cs="Times New Roman"/>
          <w:szCs w:val="22"/>
        </w:rPr>
        <w:t>% (Q</w:t>
      </w:r>
      <w:r w:rsidRPr="00314634">
        <w:rPr>
          <w:rFonts w:cs="Times New Roman"/>
          <w:szCs w:val="22"/>
        </w:rPr>
        <w:t>15,003.9</w:t>
      </w:r>
      <w:r w:rsidRPr="00FC4688">
        <w:rPr>
          <w:rFonts w:cs="Times New Roman"/>
          <w:szCs w:val="22"/>
        </w:rPr>
        <w:t xml:space="preserve"> millones) respecto del mismo per</w:t>
      </w:r>
      <w:r w:rsidR="004B4077">
        <w:rPr>
          <w:rFonts w:cs="Times New Roman"/>
          <w:szCs w:val="22"/>
        </w:rPr>
        <w:t>í</w:t>
      </w:r>
      <w:r w:rsidRPr="00FC4688">
        <w:rPr>
          <w:rFonts w:cs="Times New Roman"/>
          <w:szCs w:val="22"/>
        </w:rPr>
        <w:t>odo del año previo</w:t>
      </w:r>
      <w:r w:rsidR="004B4077">
        <w:rPr>
          <w:rFonts w:cs="Times New Roman"/>
          <w:szCs w:val="22"/>
        </w:rPr>
        <w:t xml:space="preserve">, mientras que, </w:t>
      </w:r>
      <w:r>
        <w:rPr>
          <w:rFonts w:cs="Times New Roman"/>
          <w:szCs w:val="22"/>
        </w:rPr>
        <w:t>en el 2021, la tasa de variación interanual había sido negativ</w:t>
      </w:r>
      <w:r w:rsidR="004B4077">
        <w:rPr>
          <w:rFonts w:cs="Times New Roman"/>
          <w:szCs w:val="22"/>
        </w:rPr>
        <w:t>a</w:t>
      </w:r>
      <w:r>
        <w:rPr>
          <w:rFonts w:cs="Times New Roman"/>
          <w:szCs w:val="22"/>
        </w:rPr>
        <w:t xml:space="preserve"> por 1.3% (Q</w:t>
      </w:r>
      <w:r w:rsidRPr="00472DED">
        <w:rPr>
          <w:rFonts w:cs="Times New Roman"/>
          <w:szCs w:val="22"/>
        </w:rPr>
        <w:t>1,179.6</w:t>
      </w:r>
      <w:r>
        <w:rPr>
          <w:rFonts w:cs="Times New Roman"/>
          <w:szCs w:val="22"/>
        </w:rPr>
        <w:t xml:space="preserve"> millones).</w:t>
      </w:r>
    </w:p>
    <w:p w14:paraId="5DC0ABA8" w14:textId="77777777" w:rsidR="00382C9E" w:rsidRDefault="00382C9E" w:rsidP="00CD34D6">
      <w:pPr>
        <w:rPr>
          <w:rFonts w:cs="Times New Roman"/>
          <w:szCs w:val="22"/>
        </w:rPr>
      </w:pPr>
    </w:p>
    <w:p w14:paraId="584F0028" w14:textId="06B626AA" w:rsidR="00E43382" w:rsidRDefault="00E43382" w:rsidP="00CD34D6">
      <w:pPr>
        <w:rPr>
          <w:rFonts w:cs="Times New Roman"/>
          <w:szCs w:val="22"/>
        </w:rPr>
      </w:pPr>
      <w:r w:rsidRPr="00FC4688">
        <w:rPr>
          <w:rFonts w:cs="Times New Roman"/>
          <w:noProof/>
          <w:lang w:eastAsia="es-GT"/>
        </w:rPr>
        <w:drawing>
          <wp:inline distT="0" distB="0" distL="0" distR="0" wp14:anchorId="71BF6F69" wp14:editId="3B80A382">
            <wp:extent cx="5868035" cy="3481705"/>
            <wp:effectExtent l="0" t="0" r="0" b="44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4F3A1D" w14:textId="64A6A273" w:rsidR="005B01EE" w:rsidRPr="00FC4688" w:rsidRDefault="00BF20CD" w:rsidP="004E718D">
      <w:pPr>
        <w:tabs>
          <w:tab w:val="left" w:pos="1803"/>
        </w:tabs>
        <w:rPr>
          <w:rFonts w:cs="Times New Roman"/>
          <w:szCs w:val="22"/>
        </w:rPr>
      </w:pPr>
      <w:r w:rsidRPr="00FC4688">
        <w:rPr>
          <w:rFonts w:cs="Times New Roman"/>
          <w:noProof/>
          <w:szCs w:val="22"/>
          <w:lang w:eastAsia="es-GT"/>
        </w:rPr>
        <w:lastRenderedPageBreak/>
        <w:drawing>
          <wp:inline distT="0" distB="0" distL="0" distR="0" wp14:anchorId="7B243B22" wp14:editId="21DC2A97">
            <wp:extent cx="5960745" cy="3112718"/>
            <wp:effectExtent l="0" t="0" r="190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B01EE" w:rsidRPr="005B01EE">
        <w:rPr>
          <w:rFonts w:cs="Times New Roman"/>
          <w:szCs w:val="22"/>
        </w:rPr>
        <w:t xml:space="preserve"> </w:t>
      </w:r>
      <w:r w:rsidR="005B01EE" w:rsidRPr="00FC4688">
        <w:rPr>
          <w:rFonts w:cs="Times New Roman"/>
          <w:szCs w:val="22"/>
        </w:rPr>
        <w:t xml:space="preserve">A nivel de cuentas económicas, </w:t>
      </w:r>
      <w:r w:rsidR="00643543">
        <w:rPr>
          <w:rFonts w:cs="Times New Roman"/>
          <w:szCs w:val="22"/>
        </w:rPr>
        <w:t>los</w:t>
      </w:r>
      <w:r w:rsidR="003C6CB9">
        <w:rPr>
          <w:rFonts w:cs="Times New Roman"/>
          <w:szCs w:val="22"/>
        </w:rPr>
        <w:t xml:space="preserve"> gasto</w:t>
      </w:r>
      <w:r w:rsidR="00643543">
        <w:rPr>
          <w:rFonts w:cs="Times New Roman"/>
          <w:szCs w:val="22"/>
        </w:rPr>
        <w:t>s</w:t>
      </w:r>
      <w:r w:rsidR="003C6CB9">
        <w:rPr>
          <w:rFonts w:cs="Times New Roman"/>
          <w:szCs w:val="22"/>
        </w:rPr>
        <w:t xml:space="preserve"> </w:t>
      </w:r>
      <w:r w:rsidR="00643543">
        <w:rPr>
          <w:rFonts w:cs="Times New Roman"/>
          <w:szCs w:val="22"/>
        </w:rPr>
        <w:t>en</w:t>
      </w:r>
      <w:r w:rsidR="003C6CB9">
        <w:rPr>
          <w:rFonts w:cs="Times New Roman"/>
          <w:szCs w:val="22"/>
        </w:rPr>
        <w:t xml:space="preserve"> donaciones fueron las que mayor incremento tuvieron en 2022</w:t>
      </w:r>
      <w:r w:rsidR="00275794">
        <w:rPr>
          <w:rFonts w:cs="Times New Roman"/>
          <w:szCs w:val="22"/>
        </w:rPr>
        <w:t>, este ascendió a un total de Q</w:t>
      </w:r>
      <w:r w:rsidR="00275794" w:rsidRPr="00275794">
        <w:rPr>
          <w:rFonts w:cs="Times New Roman"/>
          <w:szCs w:val="22"/>
        </w:rPr>
        <w:t>24,908.9</w:t>
      </w:r>
      <w:r w:rsidR="00275794">
        <w:rPr>
          <w:rFonts w:cs="Times New Roman"/>
          <w:szCs w:val="22"/>
        </w:rPr>
        <w:t xml:space="preserve"> millones y es un aumento de</w:t>
      </w:r>
      <w:r w:rsidR="006C58F9">
        <w:rPr>
          <w:rFonts w:cs="Times New Roman"/>
          <w:szCs w:val="22"/>
        </w:rPr>
        <w:t>l</w:t>
      </w:r>
      <w:r w:rsidR="00275794">
        <w:rPr>
          <w:rFonts w:cs="Times New Roman"/>
          <w:szCs w:val="22"/>
        </w:rPr>
        <w:t xml:space="preserve"> 18.2% (Q3,840.8 millones)</w:t>
      </w:r>
      <w:r w:rsidR="005B01EE" w:rsidRPr="00FC4688">
        <w:rPr>
          <w:rFonts w:cs="Times New Roman"/>
          <w:szCs w:val="22"/>
        </w:rPr>
        <w:t>.</w:t>
      </w:r>
      <w:r w:rsidR="006C58F9">
        <w:rPr>
          <w:rFonts w:cs="Times New Roman"/>
          <w:szCs w:val="22"/>
        </w:rPr>
        <w:t xml:space="preserve"> Las donaciones</w:t>
      </w:r>
      <w:r w:rsidR="00931ECB">
        <w:rPr>
          <w:rFonts w:cs="Times New Roman"/>
          <w:szCs w:val="22"/>
        </w:rPr>
        <w:t xml:space="preserve"> más significativas se realizaron</w:t>
      </w:r>
      <w:r w:rsidR="006C58F9">
        <w:rPr>
          <w:rFonts w:cs="Times New Roman"/>
          <w:szCs w:val="22"/>
        </w:rPr>
        <w:t xml:space="preserve"> a otras unidades del </w:t>
      </w:r>
      <w:r w:rsidR="007A2D80">
        <w:rPr>
          <w:rFonts w:cs="Times New Roman"/>
          <w:szCs w:val="22"/>
        </w:rPr>
        <w:t>gobierno general</w:t>
      </w:r>
      <w:r w:rsidR="00931ECB">
        <w:rPr>
          <w:rFonts w:cs="Times New Roman"/>
          <w:szCs w:val="22"/>
        </w:rPr>
        <w:t xml:space="preserve">, </w:t>
      </w:r>
      <w:r w:rsidR="00792F6A">
        <w:rPr>
          <w:rFonts w:cs="Times New Roman"/>
          <w:szCs w:val="22"/>
        </w:rPr>
        <w:t>por un total</w:t>
      </w:r>
      <w:r w:rsidR="007A2D80">
        <w:rPr>
          <w:rFonts w:cs="Times New Roman"/>
          <w:szCs w:val="22"/>
        </w:rPr>
        <w:t xml:space="preserve"> de Q</w:t>
      </w:r>
      <w:r w:rsidR="007A2D80" w:rsidRPr="007A2D80">
        <w:rPr>
          <w:rFonts w:cs="Times New Roman"/>
          <w:szCs w:val="22"/>
        </w:rPr>
        <w:t>24,608.8</w:t>
      </w:r>
      <w:r w:rsidR="00955BFF">
        <w:rPr>
          <w:rFonts w:cs="Times New Roman"/>
          <w:szCs w:val="22"/>
        </w:rPr>
        <w:t xml:space="preserve"> millones</w:t>
      </w:r>
      <w:r w:rsidR="007A2D80">
        <w:rPr>
          <w:rFonts w:cs="Times New Roman"/>
          <w:szCs w:val="22"/>
        </w:rPr>
        <w:t xml:space="preserve"> con un aumento interanual del 17.2% (</w:t>
      </w:r>
      <w:r w:rsidR="00F6380B">
        <w:rPr>
          <w:rFonts w:cs="Times New Roman"/>
          <w:szCs w:val="22"/>
        </w:rPr>
        <w:t>Q</w:t>
      </w:r>
      <w:r w:rsidR="00F6380B" w:rsidRPr="00F6380B">
        <w:rPr>
          <w:rFonts w:cs="Times New Roman"/>
          <w:szCs w:val="22"/>
        </w:rPr>
        <w:t>3,618.4</w:t>
      </w:r>
      <w:r w:rsidR="00F6380B">
        <w:rPr>
          <w:rFonts w:cs="Times New Roman"/>
          <w:szCs w:val="22"/>
        </w:rPr>
        <w:t xml:space="preserve"> millones)</w:t>
      </w:r>
      <w:r w:rsidR="00931ECB">
        <w:rPr>
          <w:rFonts w:cs="Times New Roman"/>
          <w:szCs w:val="22"/>
        </w:rPr>
        <w:t>.</w:t>
      </w:r>
    </w:p>
    <w:p w14:paraId="002DE0D7" w14:textId="77777777" w:rsidR="005B01EE" w:rsidRDefault="005B01EE" w:rsidP="007B53E5"/>
    <w:p w14:paraId="6F1590F2" w14:textId="1EE32060" w:rsidR="007B53E5" w:rsidRPr="00FC4688" w:rsidRDefault="00FC2EA8" w:rsidP="007B53E5">
      <w:r w:rsidRPr="006C3EC7">
        <w:t>L</w:t>
      </w:r>
      <w:r w:rsidR="007B53E5" w:rsidRPr="006C3EC7">
        <w:t xml:space="preserve">a segunda cuenta con mayor crecimiento </w:t>
      </w:r>
      <w:r w:rsidR="00A0380C" w:rsidRPr="006C3EC7">
        <w:t xml:space="preserve">durante el año fue el gasto en bienes y servicios, los cuales </w:t>
      </w:r>
      <w:r w:rsidR="00A67B63" w:rsidRPr="006C3EC7">
        <w:t>se situaron en Q16,657.0</w:t>
      </w:r>
      <w:r w:rsidR="00955BFF">
        <w:t xml:space="preserve"> millones</w:t>
      </w:r>
      <w:r w:rsidR="00A67B63" w:rsidRPr="006C3EC7">
        <w:t xml:space="preserve">, siendo una variación interanual del </w:t>
      </w:r>
      <w:r w:rsidR="00B37BF1" w:rsidRPr="006C3EC7">
        <w:t>25.7% (Q3,402.8 millones)</w:t>
      </w:r>
      <w:r w:rsidR="007B53E5" w:rsidRPr="006C3EC7">
        <w:t>.</w:t>
      </w:r>
      <w:r w:rsidR="003512CC" w:rsidRPr="006C3EC7">
        <w:t xml:space="preserve"> </w:t>
      </w:r>
      <w:r w:rsidR="00473B57" w:rsidRPr="006C3EC7">
        <w:t xml:space="preserve">La entidad que reporta un mayor incremento en esta cuenta económica </w:t>
      </w:r>
      <w:r w:rsidR="00BE6CF6" w:rsidRPr="006C3EC7">
        <w:t xml:space="preserve">es </w:t>
      </w:r>
      <w:r w:rsidR="00473B57" w:rsidRPr="006C3EC7">
        <w:t>e</w:t>
      </w:r>
      <w:r w:rsidR="003512CC" w:rsidRPr="006C3EC7">
        <w:t xml:space="preserve">l Ministerio de </w:t>
      </w:r>
      <w:r w:rsidR="004B4077">
        <w:t>C</w:t>
      </w:r>
      <w:r w:rsidR="003512CC" w:rsidRPr="006C3EC7">
        <w:t>omunicaciones</w:t>
      </w:r>
      <w:r w:rsidR="00E2712E" w:rsidRPr="006C3EC7">
        <w:t xml:space="preserve">, </w:t>
      </w:r>
      <w:r w:rsidR="004B4077">
        <w:t>I</w:t>
      </w:r>
      <w:r w:rsidR="00E2712E" w:rsidRPr="006C3EC7">
        <w:t xml:space="preserve">nfraestructura y </w:t>
      </w:r>
      <w:r w:rsidR="004B4077">
        <w:t>V</w:t>
      </w:r>
      <w:r w:rsidR="00E2712E" w:rsidRPr="006C3EC7">
        <w:t xml:space="preserve">ivienda </w:t>
      </w:r>
      <w:r w:rsidR="00FA4EF7" w:rsidRPr="006C3EC7">
        <w:t>con un aumento del 108% (Q2,638.3 millones) respecto a lo observado en 202</w:t>
      </w:r>
      <w:r w:rsidR="0037584B">
        <w:t>1</w:t>
      </w:r>
      <w:r w:rsidR="007E0ABB" w:rsidRPr="006C3EC7">
        <w:t>, este increment</w:t>
      </w:r>
      <w:r w:rsidR="0037584B">
        <w:t>o</w:t>
      </w:r>
      <w:r w:rsidR="007E0ABB" w:rsidRPr="006C3EC7">
        <w:t xml:space="preserve"> es explicado principalmente por el gasto </w:t>
      </w:r>
      <w:r w:rsidR="00E15A2F">
        <w:t xml:space="preserve">realizado en </w:t>
      </w:r>
      <w:r w:rsidR="000E0059" w:rsidRPr="006C3EC7">
        <w:t>el mantenimiento y reparación de carreter</w:t>
      </w:r>
      <w:r w:rsidR="004B4077">
        <w:t>a</w:t>
      </w:r>
      <w:r w:rsidR="000E0059" w:rsidRPr="006C3EC7">
        <w:t>s y puentes</w:t>
      </w:r>
      <w:r w:rsidR="008F2850" w:rsidRPr="006C3EC7">
        <w:t>.</w:t>
      </w:r>
    </w:p>
    <w:p w14:paraId="75DC1E38" w14:textId="63BC2C7C" w:rsidR="00A6402B" w:rsidRPr="00FC4688" w:rsidRDefault="00A6402B" w:rsidP="00FB5489"/>
    <w:p w14:paraId="5C418191" w14:textId="39CEED8E" w:rsidR="00B10B7E" w:rsidRDefault="00B10B7E" w:rsidP="005856D7">
      <w:pPr>
        <w:rPr>
          <w:rFonts w:cs="Times New Roman"/>
          <w:szCs w:val="22"/>
        </w:rPr>
      </w:pPr>
      <w:r>
        <w:rPr>
          <w:rFonts w:cs="Times New Roman"/>
          <w:szCs w:val="22"/>
        </w:rPr>
        <w:t xml:space="preserve">El gasto </w:t>
      </w:r>
      <w:r w:rsidR="007A2F0C">
        <w:rPr>
          <w:rFonts w:cs="Times New Roman"/>
          <w:szCs w:val="22"/>
        </w:rPr>
        <w:t>en</w:t>
      </w:r>
      <w:r>
        <w:rPr>
          <w:rFonts w:cs="Times New Roman"/>
          <w:szCs w:val="22"/>
        </w:rPr>
        <w:t xml:space="preserve"> subsidios se situó en Q</w:t>
      </w:r>
      <w:r w:rsidR="005B2EFC" w:rsidRPr="005B2EFC">
        <w:rPr>
          <w:rFonts w:cs="Times New Roman"/>
          <w:szCs w:val="22"/>
        </w:rPr>
        <w:t>3,424.5</w:t>
      </w:r>
      <w:r w:rsidR="005B2EFC">
        <w:rPr>
          <w:rFonts w:cs="Times New Roman"/>
          <w:szCs w:val="22"/>
        </w:rPr>
        <w:t xml:space="preserve"> millones</w:t>
      </w:r>
      <w:r w:rsidR="00777E02">
        <w:rPr>
          <w:rFonts w:cs="Times New Roman"/>
          <w:szCs w:val="22"/>
        </w:rPr>
        <w:t>, mostrando</w:t>
      </w:r>
      <w:r w:rsidR="005B2EFC">
        <w:rPr>
          <w:rFonts w:cs="Times New Roman"/>
          <w:szCs w:val="22"/>
        </w:rPr>
        <w:t xml:space="preserve"> un crecimiento</w:t>
      </w:r>
      <w:r w:rsidR="00777E02">
        <w:rPr>
          <w:rFonts w:cs="Times New Roman"/>
          <w:szCs w:val="22"/>
        </w:rPr>
        <w:t xml:space="preserve"> interanual</w:t>
      </w:r>
      <w:r w:rsidR="005B2EFC">
        <w:rPr>
          <w:rFonts w:cs="Times New Roman"/>
          <w:szCs w:val="22"/>
        </w:rPr>
        <w:t xml:space="preserve"> del 691.9% respecto a 2021. </w:t>
      </w:r>
      <w:r w:rsidR="001E599B">
        <w:rPr>
          <w:rFonts w:cs="Times New Roman"/>
          <w:szCs w:val="22"/>
        </w:rPr>
        <w:t xml:space="preserve">El incremento se produce principalmente por </w:t>
      </w:r>
      <w:r w:rsidR="007D07B2">
        <w:rPr>
          <w:rFonts w:cs="Times New Roman"/>
          <w:szCs w:val="22"/>
        </w:rPr>
        <w:t xml:space="preserve">los subsidios que se aplicaron sobre </w:t>
      </w:r>
      <w:r w:rsidR="00430577">
        <w:rPr>
          <w:rFonts w:cs="Times New Roman"/>
          <w:szCs w:val="22"/>
        </w:rPr>
        <w:t>el gas propano</w:t>
      </w:r>
      <w:r w:rsidR="00F9746F">
        <w:rPr>
          <w:rFonts w:cs="Times New Roman"/>
          <w:szCs w:val="22"/>
        </w:rPr>
        <w:t>,</w:t>
      </w:r>
      <w:r w:rsidR="00430577">
        <w:rPr>
          <w:rFonts w:cs="Times New Roman"/>
          <w:szCs w:val="22"/>
        </w:rPr>
        <w:t xml:space="preserve"> las gasolinas </w:t>
      </w:r>
      <w:r w:rsidR="003548CB">
        <w:rPr>
          <w:rFonts w:cs="Times New Roman"/>
          <w:szCs w:val="22"/>
        </w:rPr>
        <w:t xml:space="preserve">(incluyendo al </w:t>
      </w:r>
      <w:r w:rsidR="00430577">
        <w:rPr>
          <w:rFonts w:cs="Times New Roman"/>
          <w:szCs w:val="22"/>
        </w:rPr>
        <w:t>diésel</w:t>
      </w:r>
      <w:r w:rsidR="003548CB">
        <w:rPr>
          <w:rFonts w:cs="Times New Roman"/>
          <w:szCs w:val="22"/>
        </w:rPr>
        <w:t>)</w:t>
      </w:r>
      <w:r w:rsidR="00F9746F">
        <w:rPr>
          <w:rFonts w:cs="Times New Roman"/>
          <w:szCs w:val="22"/>
        </w:rPr>
        <w:t>, así como la ampliación de la base</w:t>
      </w:r>
      <w:r w:rsidR="006A14AE">
        <w:rPr>
          <w:rFonts w:cs="Times New Roman"/>
          <w:szCs w:val="22"/>
        </w:rPr>
        <w:t xml:space="preserve"> de beneficiarios en</w:t>
      </w:r>
      <w:r w:rsidR="00F9746F">
        <w:rPr>
          <w:rFonts w:cs="Times New Roman"/>
          <w:szCs w:val="22"/>
        </w:rPr>
        <w:t xml:space="preserve"> la tarifa social de energía eléctrica</w:t>
      </w:r>
      <w:r w:rsidR="00B32064">
        <w:rPr>
          <w:rFonts w:cs="Times New Roman"/>
          <w:szCs w:val="22"/>
        </w:rPr>
        <w:t xml:space="preserve"> lo cuales fueron </w:t>
      </w:r>
      <w:r w:rsidR="0053777A">
        <w:rPr>
          <w:rFonts w:cs="Times New Roman"/>
          <w:szCs w:val="22"/>
        </w:rPr>
        <w:t xml:space="preserve">otorgadas como </w:t>
      </w:r>
      <w:r w:rsidR="00B32064">
        <w:rPr>
          <w:rFonts w:cs="Times New Roman"/>
          <w:szCs w:val="22"/>
        </w:rPr>
        <w:t xml:space="preserve">una </w:t>
      </w:r>
      <w:r w:rsidR="00430577">
        <w:rPr>
          <w:rFonts w:cs="Times New Roman"/>
          <w:szCs w:val="22"/>
        </w:rPr>
        <w:t xml:space="preserve">medida de apoyo </w:t>
      </w:r>
      <w:r w:rsidR="00F66C07">
        <w:rPr>
          <w:rFonts w:cs="Times New Roman"/>
          <w:szCs w:val="22"/>
        </w:rPr>
        <w:t>a las familias</w:t>
      </w:r>
      <w:r w:rsidR="00FC58F2">
        <w:rPr>
          <w:rFonts w:cs="Times New Roman"/>
          <w:szCs w:val="22"/>
        </w:rPr>
        <w:t>, además</w:t>
      </w:r>
      <w:r w:rsidR="00F66C07">
        <w:rPr>
          <w:rFonts w:cs="Times New Roman"/>
          <w:szCs w:val="22"/>
        </w:rPr>
        <w:t xml:space="preserve"> </w:t>
      </w:r>
      <w:r w:rsidR="00E14D82">
        <w:rPr>
          <w:rFonts w:cs="Times New Roman"/>
          <w:szCs w:val="22"/>
        </w:rPr>
        <w:t>permitió</w:t>
      </w:r>
      <w:r w:rsidR="00F66C07">
        <w:rPr>
          <w:rFonts w:cs="Times New Roman"/>
          <w:szCs w:val="22"/>
        </w:rPr>
        <w:t xml:space="preserve"> evitar los efectos de segunda vuelta sobre la </w:t>
      </w:r>
      <w:r w:rsidR="00FC58F2">
        <w:rPr>
          <w:rFonts w:cs="Times New Roman"/>
          <w:szCs w:val="22"/>
        </w:rPr>
        <w:t>inflación</w:t>
      </w:r>
      <w:r w:rsidR="003766BD">
        <w:rPr>
          <w:rFonts w:cs="Times New Roman"/>
          <w:szCs w:val="22"/>
        </w:rPr>
        <w:t xml:space="preserve">, causados por </w:t>
      </w:r>
      <w:r w:rsidR="00430577">
        <w:rPr>
          <w:rFonts w:cs="Times New Roman"/>
          <w:szCs w:val="22"/>
        </w:rPr>
        <w:t>el aumento de los precios internacionales de los combustibles.</w:t>
      </w:r>
    </w:p>
    <w:p w14:paraId="6FDE4433" w14:textId="77777777" w:rsidR="00430577" w:rsidRDefault="00430577" w:rsidP="005856D7">
      <w:pPr>
        <w:rPr>
          <w:rFonts w:cs="Times New Roman"/>
          <w:szCs w:val="22"/>
        </w:rPr>
      </w:pPr>
    </w:p>
    <w:p w14:paraId="4997421C" w14:textId="6BE7A6AC" w:rsidR="00C655B0" w:rsidRDefault="00CD3977" w:rsidP="005856D7">
      <w:pPr>
        <w:rPr>
          <w:rFonts w:cs="Times New Roman"/>
          <w:szCs w:val="22"/>
        </w:rPr>
      </w:pPr>
      <w:r w:rsidRPr="00FC4688">
        <w:rPr>
          <w:rFonts w:cs="Times New Roman"/>
          <w:szCs w:val="22"/>
        </w:rPr>
        <w:t>L</w:t>
      </w:r>
      <w:r w:rsidR="005856D7" w:rsidRPr="00FC4688">
        <w:rPr>
          <w:rFonts w:cs="Times New Roman"/>
          <w:szCs w:val="22"/>
        </w:rPr>
        <w:t xml:space="preserve">a categoría de otros gastos </w:t>
      </w:r>
      <w:r w:rsidR="00785CBD">
        <w:rPr>
          <w:rFonts w:cs="Times New Roman"/>
          <w:szCs w:val="22"/>
        </w:rPr>
        <w:t>culmin</w:t>
      </w:r>
      <w:r w:rsidR="003766BD">
        <w:rPr>
          <w:rFonts w:cs="Times New Roman"/>
          <w:szCs w:val="22"/>
        </w:rPr>
        <w:t>ó</w:t>
      </w:r>
      <w:r w:rsidR="00785CBD">
        <w:rPr>
          <w:rFonts w:cs="Times New Roman"/>
          <w:szCs w:val="22"/>
        </w:rPr>
        <w:t xml:space="preserve"> en Q</w:t>
      </w:r>
      <w:r w:rsidR="001D758E" w:rsidRPr="001D758E">
        <w:rPr>
          <w:rFonts w:cs="Times New Roman"/>
          <w:szCs w:val="22"/>
        </w:rPr>
        <w:t>7,490.4</w:t>
      </w:r>
      <w:r w:rsidR="001D758E">
        <w:rPr>
          <w:rFonts w:cs="Times New Roman"/>
          <w:szCs w:val="22"/>
        </w:rPr>
        <w:t xml:space="preserve"> millones y </w:t>
      </w:r>
      <w:r w:rsidR="005856D7" w:rsidRPr="00FC4688">
        <w:rPr>
          <w:rFonts w:cs="Times New Roman"/>
          <w:szCs w:val="22"/>
        </w:rPr>
        <w:t>mostró</w:t>
      </w:r>
      <w:r w:rsidR="00B86A34" w:rsidRPr="00FC4688">
        <w:rPr>
          <w:rFonts w:cs="Times New Roman"/>
          <w:szCs w:val="22"/>
        </w:rPr>
        <w:t xml:space="preserve"> un</w:t>
      </w:r>
      <w:r w:rsidR="005856D7" w:rsidRPr="00FC4688">
        <w:rPr>
          <w:rFonts w:cs="Times New Roman"/>
          <w:szCs w:val="22"/>
        </w:rPr>
        <w:t xml:space="preserve"> crecimiento de</w:t>
      </w:r>
      <w:r w:rsidR="00A86458" w:rsidRPr="00FC4688">
        <w:rPr>
          <w:rFonts w:cs="Times New Roman"/>
          <w:szCs w:val="22"/>
        </w:rPr>
        <w:t xml:space="preserve"> </w:t>
      </w:r>
      <w:r w:rsidR="001D758E">
        <w:rPr>
          <w:rFonts w:cs="Times New Roman"/>
          <w:szCs w:val="22"/>
        </w:rPr>
        <w:t>41</w:t>
      </w:r>
      <w:r w:rsidR="00A86458" w:rsidRPr="00FC4688">
        <w:rPr>
          <w:rFonts w:cs="Times New Roman"/>
          <w:szCs w:val="22"/>
        </w:rPr>
        <w:t>.</w:t>
      </w:r>
      <w:r w:rsidR="001D758E">
        <w:rPr>
          <w:rFonts w:cs="Times New Roman"/>
          <w:szCs w:val="22"/>
        </w:rPr>
        <w:t>9</w:t>
      </w:r>
      <w:r w:rsidR="00A86458" w:rsidRPr="00FC4688">
        <w:rPr>
          <w:rFonts w:cs="Times New Roman"/>
          <w:szCs w:val="22"/>
        </w:rPr>
        <w:t>%</w:t>
      </w:r>
      <w:r w:rsidR="005856D7" w:rsidRPr="00FC4688">
        <w:rPr>
          <w:rFonts w:cs="Times New Roman"/>
          <w:szCs w:val="22"/>
        </w:rPr>
        <w:t xml:space="preserve"> </w:t>
      </w:r>
      <w:r w:rsidR="00A86458" w:rsidRPr="00FC4688">
        <w:rPr>
          <w:rFonts w:cs="Times New Roman"/>
          <w:szCs w:val="22"/>
        </w:rPr>
        <w:t>(</w:t>
      </w:r>
      <w:r w:rsidR="005856D7" w:rsidRPr="00FC4688">
        <w:rPr>
          <w:rFonts w:cs="Times New Roman"/>
          <w:szCs w:val="22"/>
        </w:rPr>
        <w:t>Q</w:t>
      </w:r>
      <w:r w:rsidR="001D758E">
        <w:rPr>
          <w:rFonts w:cs="Times New Roman"/>
          <w:szCs w:val="22"/>
        </w:rPr>
        <w:t>2,211.3 millones</w:t>
      </w:r>
      <w:r w:rsidR="00A86458" w:rsidRPr="00FC4688">
        <w:rPr>
          <w:rFonts w:cs="Times New Roman"/>
          <w:szCs w:val="22"/>
        </w:rPr>
        <w:t>)</w:t>
      </w:r>
      <w:r w:rsidR="001D758E">
        <w:rPr>
          <w:rFonts w:cs="Times New Roman"/>
          <w:szCs w:val="22"/>
        </w:rPr>
        <w:t>. En esta categoría, e</w:t>
      </w:r>
      <w:r w:rsidR="005856D7" w:rsidRPr="00FC4688">
        <w:t xml:space="preserve">l gasto más significativo </w:t>
      </w:r>
      <w:r w:rsidR="00022F9D">
        <w:t xml:space="preserve">se produce en las </w:t>
      </w:r>
      <w:r w:rsidR="005856D7" w:rsidRPr="00FC4688">
        <w:rPr>
          <w:rFonts w:cs="Times New Roman"/>
          <w:szCs w:val="22"/>
        </w:rPr>
        <w:t xml:space="preserve">transferencias no clasificadas en otra partida, que </w:t>
      </w:r>
      <w:r w:rsidR="00DD46BF" w:rsidRPr="00FC4688">
        <w:rPr>
          <w:rFonts w:cs="Times New Roman"/>
          <w:szCs w:val="22"/>
        </w:rPr>
        <w:t xml:space="preserve">se </w:t>
      </w:r>
      <w:r w:rsidR="005856D7" w:rsidRPr="00FC4688">
        <w:rPr>
          <w:rFonts w:cs="Times New Roman"/>
          <w:szCs w:val="22"/>
        </w:rPr>
        <w:t>incrementaron en</w:t>
      </w:r>
      <w:r w:rsidR="00DD46BF" w:rsidRPr="00FC4688">
        <w:rPr>
          <w:rFonts w:cs="Times New Roman"/>
          <w:szCs w:val="22"/>
        </w:rPr>
        <w:t xml:space="preserve"> </w:t>
      </w:r>
      <w:r w:rsidR="00625084">
        <w:rPr>
          <w:rFonts w:cs="Times New Roman"/>
          <w:szCs w:val="22"/>
        </w:rPr>
        <w:t>4</w:t>
      </w:r>
      <w:r w:rsidR="00DD46BF" w:rsidRPr="00FC4688">
        <w:rPr>
          <w:rFonts w:cs="Times New Roman"/>
          <w:szCs w:val="22"/>
        </w:rPr>
        <w:t>4.</w:t>
      </w:r>
      <w:r w:rsidR="00625084">
        <w:rPr>
          <w:rFonts w:cs="Times New Roman"/>
          <w:szCs w:val="22"/>
        </w:rPr>
        <w:t>9</w:t>
      </w:r>
      <w:r w:rsidR="00DD46BF" w:rsidRPr="00FC4688">
        <w:rPr>
          <w:rFonts w:cs="Times New Roman"/>
          <w:szCs w:val="22"/>
        </w:rPr>
        <w:t>%</w:t>
      </w:r>
      <w:r w:rsidR="005856D7" w:rsidRPr="00FC4688">
        <w:rPr>
          <w:rFonts w:cs="Times New Roman"/>
          <w:szCs w:val="22"/>
        </w:rPr>
        <w:t xml:space="preserve"> </w:t>
      </w:r>
      <w:r w:rsidR="00DD46BF" w:rsidRPr="00FC4688">
        <w:rPr>
          <w:rFonts w:cs="Times New Roman"/>
          <w:szCs w:val="22"/>
        </w:rPr>
        <w:t>(</w:t>
      </w:r>
      <w:r w:rsidR="005856D7" w:rsidRPr="00FC4688">
        <w:rPr>
          <w:rFonts w:cs="Times New Roman"/>
          <w:szCs w:val="22"/>
        </w:rPr>
        <w:t>Q</w:t>
      </w:r>
      <w:r w:rsidR="00C655B0" w:rsidRPr="00C655B0">
        <w:rPr>
          <w:rFonts w:cs="Times New Roman"/>
          <w:szCs w:val="22"/>
        </w:rPr>
        <w:t xml:space="preserve">2,156.2 </w:t>
      </w:r>
      <w:r w:rsidR="005856D7" w:rsidRPr="00FC4688">
        <w:rPr>
          <w:rFonts w:cs="Times New Roman"/>
          <w:szCs w:val="22"/>
        </w:rPr>
        <w:t>millones</w:t>
      </w:r>
      <w:r w:rsidR="00DD46BF" w:rsidRPr="00FC4688">
        <w:rPr>
          <w:rFonts w:cs="Times New Roman"/>
          <w:szCs w:val="22"/>
        </w:rPr>
        <w:t>)</w:t>
      </w:r>
      <w:r w:rsidR="005856D7" w:rsidRPr="00FC4688">
        <w:rPr>
          <w:rFonts w:cs="Times New Roman"/>
          <w:szCs w:val="22"/>
        </w:rPr>
        <w:t xml:space="preserve"> explicado principalmente por las tra</w:t>
      </w:r>
      <w:r w:rsidR="00FB2CCC">
        <w:rPr>
          <w:rFonts w:cs="Times New Roman"/>
          <w:szCs w:val="22"/>
        </w:rPr>
        <w:t>n</w:t>
      </w:r>
      <w:r w:rsidR="005856D7" w:rsidRPr="00FC4688">
        <w:rPr>
          <w:rFonts w:cs="Times New Roman"/>
          <w:szCs w:val="22"/>
        </w:rPr>
        <w:t>sferencias realizadas a instituciones sin fines de lucro al servicio de los hogares guatemaltecos</w:t>
      </w:r>
      <w:r w:rsidR="00676100">
        <w:rPr>
          <w:rFonts w:cs="Times New Roman"/>
          <w:szCs w:val="22"/>
        </w:rPr>
        <w:t xml:space="preserve"> que realiza </w:t>
      </w:r>
      <w:r w:rsidR="00D15B49">
        <w:rPr>
          <w:rFonts w:cs="Times New Roman"/>
          <w:szCs w:val="22"/>
        </w:rPr>
        <w:t xml:space="preserve">el Ministerio de </w:t>
      </w:r>
      <w:r w:rsidR="00FB2CCC">
        <w:rPr>
          <w:rFonts w:cs="Times New Roman"/>
          <w:szCs w:val="22"/>
        </w:rPr>
        <w:t>E</w:t>
      </w:r>
      <w:r w:rsidR="00D15B49">
        <w:rPr>
          <w:rFonts w:cs="Times New Roman"/>
          <w:szCs w:val="22"/>
        </w:rPr>
        <w:t>ducación</w:t>
      </w:r>
      <w:r w:rsidR="005856D7" w:rsidRPr="00FC4688">
        <w:rPr>
          <w:rFonts w:cs="Times New Roman"/>
          <w:szCs w:val="22"/>
        </w:rPr>
        <w:t>.</w:t>
      </w:r>
    </w:p>
    <w:p w14:paraId="27F6C49C" w14:textId="77777777" w:rsidR="00C655B0" w:rsidRDefault="00C655B0" w:rsidP="005856D7">
      <w:pPr>
        <w:rPr>
          <w:rFonts w:cs="Times New Roman"/>
          <w:szCs w:val="22"/>
        </w:rPr>
      </w:pPr>
    </w:p>
    <w:p w14:paraId="54B409BA" w14:textId="5E800447" w:rsidR="00D15B49" w:rsidRDefault="00D15B49" w:rsidP="005856D7">
      <w:pPr>
        <w:rPr>
          <w:rFonts w:cs="Times New Roman"/>
          <w:szCs w:val="22"/>
        </w:rPr>
      </w:pPr>
      <w:r>
        <w:rPr>
          <w:rFonts w:cs="Times New Roman"/>
          <w:szCs w:val="22"/>
        </w:rPr>
        <w:t>El gasto en remuneraciones a los empleados al finalizar el año fue de Q</w:t>
      </w:r>
      <w:r w:rsidR="00CD63A4" w:rsidRPr="00CD63A4">
        <w:rPr>
          <w:rFonts w:cs="Times New Roman"/>
          <w:szCs w:val="22"/>
        </w:rPr>
        <w:t>32,268.8</w:t>
      </w:r>
      <w:r w:rsidR="00CD63A4">
        <w:rPr>
          <w:rFonts w:cs="Times New Roman"/>
          <w:szCs w:val="22"/>
        </w:rPr>
        <w:t xml:space="preserve"> millones</w:t>
      </w:r>
      <w:r w:rsidR="00DC6FEE">
        <w:rPr>
          <w:rFonts w:cs="Times New Roman"/>
          <w:szCs w:val="22"/>
        </w:rPr>
        <w:t xml:space="preserve">, </w:t>
      </w:r>
      <w:r w:rsidR="00E358BC">
        <w:rPr>
          <w:rFonts w:cs="Times New Roman"/>
          <w:szCs w:val="22"/>
        </w:rPr>
        <w:t>reflejando un</w:t>
      </w:r>
      <w:r w:rsidR="00CD63A4">
        <w:rPr>
          <w:rFonts w:cs="Times New Roman"/>
          <w:szCs w:val="22"/>
        </w:rPr>
        <w:t xml:space="preserve"> incremento</w:t>
      </w:r>
      <w:r w:rsidR="00C30548">
        <w:rPr>
          <w:rFonts w:cs="Times New Roman"/>
          <w:szCs w:val="22"/>
        </w:rPr>
        <w:t xml:space="preserve"> interanual</w:t>
      </w:r>
      <w:r w:rsidR="00CD63A4">
        <w:rPr>
          <w:rFonts w:cs="Times New Roman"/>
          <w:szCs w:val="22"/>
        </w:rPr>
        <w:t xml:space="preserve"> del 4.5% (Q</w:t>
      </w:r>
      <w:r w:rsidR="00CD63A4" w:rsidRPr="00CD63A4">
        <w:rPr>
          <w:rFonts w:cs="Times New Roman"/>
          <w:szCs w:val="22"/>
        </w:rPr>
        <w:t>1,392.8</w:t>
      </w:r>
      <w:r w:rsidR="00CD63A4">
        <w:rPr>
          <w:rFonts w:cs="Times New Roman"/>
          <w:szCs w:val="22"/>
        </w:rPr>
        <w:t xml:space="preserve"> millones) respecto al 202</w:t>
      </w:r>
      <w:r w:rsidR="0000167B">
        <w:rPr>
          <w:rFonts w:cs="Times New Roman"/>
          <w:szCs w:val="22"/>
        </w:rPr>
        <w:t>1</w:t>
      </w:r>
      <w:r w:rsidR="002D655D">
        <w:rPr>
          <w:rFonts w:cs="Times New Roman"/>
          <w:szCs w:val="22"/>
        </w:rPr>
        <w:t xml:space="preserve">, mientras que el gasto por pago de intereses asciende a </w:t>
      </w:r>
      <w:r w:rsidR="00E007D1">
        <w:rPr>
          <w:rFonts w:cs="Times New Roman"/>
          <w:szCs w:val="22"/>
        </w:rPr>
        <w:t>Q</w:t>
      </w:r>
      <w:r w:rsidR="00E007D1" w:rsidRPr="00E007D1">
        <w:rPr>
          <w:rFonts w:cs="Times New Roman"/>
          <w:szCs w:val="22"/>
        </w:rPr>
        <w:t>12,120.5</w:t>
      </w:r>
      <w:r w:rsidR="00E007D1">
        <w:rPr>
          <w:rFonts w:cs="Times New Roman"/>
          <w:szCs w:val="22"/>
        </w:rPr>
        <w:t xml:space="preserve"> millones</w:t>
      </w:r>
      <w:r w:rsidR="00FB2CCC">
        <w:rPr>
          <w:rFonts w:cs="Times New Roman"/>
          <w:szCs w:val="22"/>
        </w:rPr>
        <w:t>,</w:t>
      </w:r>
      <w:r w:rsidR="00E007D1">
        <w:rPr>
          <w:rFonts w:cs="Times New Roman"/>
          <w:szCs w:val="22"/>
        </w:rPr>
        <w:t xml:space="preserve"> con un aumento del 6.4% (Q726.0 millones)</w:t>
      </w:r>
      <w:r w:rsidR="00E50AAC">
        <w:rPr>
          <w:rFonts w:cs="Times New Roman"/>
          <w:szCs w:val="22"/>
        </w:rPr>
        <w:t xml:space="preserve"> y las </w:t>
      </w:r>
      <w:r w:rsidR="00FB2CCC">
        <w:rPr>
          <w:rFonts w:cs="Times New Roman"/>
          <w:szCs w:val="22"/>
        </w:rPr>
        <w:t>p</w:t>
      </w:r>
      <w:r w:rsidR="00E50AAC">
        <w:rPr>
          <w:rFonts w:cs="Times New Roman"/>
          <w:szCs w:val="22"/>
        </w:rPr>
        <w:t>restaciones sociales alcanzaron los Q</w:t>
      </w:r>
      <w:r w:rsidR="00E50AAC" w:rsidRPr="00E50AAC">
        <w:rPr>
          <w:rFonts w:cs="Times New Roman"/>
          <w:szCs w:val="22"/>
        </w:rPr>
        <w:t>6,428.6</w:t>
      </w:r>
      <w:r w:rsidR="00E50AAC">
        <w:rPr>
          <w:rFonts w:cs="Times New Roman"/>
          <w:szCs w:val="22"/>
        </w:rPr>
        <w:t xml:space="preserve"> millones con una variación interanual del </w:t>
      </w:r>
      <w:r w:rsidR="006638CB">
        <w:rPr>
          <w:rFonts w:cs="Times New Roman"/>
          <w:szCs w:val="22"/>
        </w:rPr>
        <w:t>7.3% (Q438.1 millones)</w:t>
      </w:r>
      <w:r w:rsidR="00FB2CCC">
        <w:rPr>
          <w:rFonts w:cs="Times New Roman"/>
          <w:szCs w:val="22"/>
        </w:rPr>
        <w:t>.</w:t>
      </w:r>
    </w:p>
    <w:p w14:paraId="485E0725" w14:textId="77777777" w:rsidR="00DC3537" w:rsidRDefault="00DC3537" w:rsidP="005856D7">
      <w:pPr>
        <w:rPr>
          <w:rFonts w:cs="Times New Roman"/>
          <w:szCs w:val="22"/>
        </w:rPr>
      </w:pPr>
    </w:p>
    <w:p w14:paraId="70E8855B" w14:textId="77777777" w:rsidR="00DC3537" w:rsidRDefault="00DC3537" w:rsidP="005856D7">
      <w:pPr>
        <w:rPr>
          <w:rFonts w:cs="Times New Roman"/>
          <w:szCs w:val="22"/>
        </w:rPr>
      </w:pPr>
    </w:p>
    <w:p w14:paraId="4E1E7B91" w14:textId="77777777" w:rsidR="008B2529" w:rsidRPr="00FC4688" w:rsidRDefault="006122C1" w:rsidP="008B2529">
      <w:pPr>
        <w:pStyle w:val="Prrafodelista"/>
        <w:numPr>
          <w:ilvl w:val="0"/>
          <w:numId w:val="1"/>
        </w:numPr>
        <w:ind w:left="426" w:hanging="426"/>
        <w:outlineLvl w:val="0"/>
        <w:rPr>
          <w:rFonts w:cs="Times New Roman"/>
          <w:b/>
          <w:sz w:val="24"/>
          <w:lang w:val="es-MX"/>
        </w:rPr>
      </w:pPr>
      <w:bookmarkStart w:id="611" w:name="_Toc42023961"/>
      <w:bookmarkStart w:id="612" w:name="_Toc42024013"/>
      <w:bookmarkStart w:id="613" w:name="_Toc411347499"/>
      <w:bookmarkStart w:id="614" w:name="_Toc127437687"/>
      <w:bookmarkEnd w:id="611"/>
      <w:bookmarkEnd w:id="612"/>
      <w:r w:rsidRPr="00FC4688">
        <w:rPr>
          <w:rFonts w:cs="Times New Roman"/>
          <w:b/>
          <w:sz w:val="24"/>
          <w:lang w:val="es-MX"/>
        </w:rPr>
        <w:lastRenderedPageBreak/>
        <w:t xml:space="preserve">Transacciones en Activos </w:t>
      </w:r>
      <w:r w:rsidR="00F4077C" w:rsidRPr="00FC4688">
        <w:rPr>
          <w:rFonts w:cs="Times New Roman"/>
          <w:b/>
          <w:sz w:val="24"/>
          <w:lang w:val="es-MX"/>
        </w:rPr>
        <w:t>No Financieros</w:t>
      </w:r>
      <w:bookmarkEnd w:id="614"/>
    </w:p>
    <w:p w14:paraId="0277483D" w14:textId="77777777" w:rsidR="00A72A8F" w:rsidRPr="00FC4688" w:rsidRDefault="006E4C13" w:rsidP="00C17472">
      <w:pPr>
        <w:rPr>
          <w:rFonts w:cs="Times New Roman"/>
          <w:sz w:val="24"/>
          <w:lang w:val="es-MX"/>
        </w:rPr>
      </w:pPr>
      <w:r w:rsidRPr="00FC4688">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51B087A" w14:textId="77777777" w:rsidR="00A72A8F" w:rsidRPr="00FC4688"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615" w:name="_Toc33109793"/>
      <w:bookmarkStart w:id="616" w:name="_Toc33109836"/>
      <w:bookmarkStart w:id="617" w:name="_Toc33180557"/>
      <w:bookmarkStart w:id="618" w:name="_Toc33180651"/>
      <w:bookmarkStart w:id="619" w:name="_Toc33193548"/>
      <w:bookmarkStart w:id="620" w:name="_Toc33193587"/>
      <w:bookmarkStart w:id="621" w:name="_Toc33196784"/>
      <w:bookmarkStart w:id="622" w:name="_Toc40691760"/>
      <w:bookmarkStart w:id="623" w:name="_Toc40959160"/>
      <w:bookmarkStart w:id="624" w:name="_Toc40975994"/>
      <w:bookmarkStart w:id="625" w:name="_Toc40976063"/>
      <w:bookmarkStart w:id="626" w:name="_Toc40993318"/>
      <w:bookmarkStart w:id="627" w:name="_Toc40993700"/>
      <w:bookmarkStart w:id="628" w:name="_Toc41037576"/>
      <w:bookmarkStart w:id="629" w:name="_Toc41254136"/>
      <w:bookmarkStart w:id="630" w:name="_Toc41254168"/>
      <w:bookmarkStart w:id="631" w:name="_Toc41254188"/>
      <w:bookmarkStart w:id="632" w:name="_Toc42023964"/>
      <w:bookmarkStart w:id="633" w:name="_Toc42024015"/>
      <w:bookmarkStart w:id="634" w:name="_Toc42069112"/>
      <w:bookmarkStart w:id="635" w:name="_Toc49422058"/>
      <w:bookmarkStart w:id="636" w:name="_Toc49422084"/>
      <w:bookmarkStart w:id="637" w:name="_Toc49430663"/>
      <w:bookmarkStart w:id="638" w:name="_Toc49430689"/>
      <w:bookmarkStart w:id="639" w:name="_Toc49750466"/>
      <w:bookmarkStart w:id="640" w:name="_Toc49750716"/>
      <w:bookmarkStart w:id="641" w:name="_Toc49750744"/>
      <w:bookmarkStart w:id="642" w:name="_Toc55284830"/>
      <w:bookmarkStart w:id="643" w:name="_Toc55298848"/>
      <w:bookmarkStart w:id="644" w:name="_Toc55373829"/>
      <w:bookmarkStart w:id="645" w:name="_Toc55374002"/>
      <w:bookmarkStart w:id="646" w:name="_Toc55375139"/>
      <w:bookmarkStart w:id="647" w:name="_Toc55396547"/>
      <w:bookmarkStart w:id="648" w:name="_Toc65230544"/>
      <w:bookmarkStart w:id="649" w:name="_Toc65230782"/>
      <w:bookmarkStart w:id="650" w:name="_Toc65232066"/>
      <w:bookmarkStart w:id="651" w:name="_Toc65232311"/>
      <w:bookmarkStart w:id="652" w:name="_Toc66716170"/>
      <w:bookmarkStart w:id="653" w:name="_Toc71097214"/>
      <w:bookmarkStart w:id="654" w:name="_Toc71097245"/>
      <w:bookmarkStart w:id="655" w:name="_Toc71097320"/>
      <w:bookmarkStart w:id="656" w:name="_Toc71108060"/>
      <w:bookmarkStart w:id="657" w:name="_Toc79055254"/>
      <w:bookmarkStart w:id="658" w:name="_Toc79055285"/>
      <w:bookmarkStart w:id="659" w:name="_Toc79060176"/>
      <w:bookmarkStart w:id="660" w:name="_Toc79060463"/>
      <w:bookmarkStart w:id="661" w:name="_Toc81307820"/>
      <w:bookmarkStart w:id="662" w:name="_Toc83376481"/>
      <w:bookmarkStart w:id="663" w:name="_Toc86386720"/>
      <w:bookmarkStart w:id="664" w:name="_Toc86405406"/>
      <w:bookmarkStart w:id="665" w:name="_Toc98162436"/>
      <w:bookmarkStart w:id="666" w:name="_Toc98162468"/>
      <w:bookmarkStart w:id="667" w:name="_Toc98234994"/>
      <w:bookmarkStart w:id="668" w:name="_Toc98235189"/>
      <w:bookmarkStart w:id="669" w:name="_Toc98235274"/>
      <w:bookmarkStart w:id="670" w:name="_Toc98757144"/>
      <w:bookmarkStart w:id="671" w:name="_Toc101874699"/>
      <w:bookmarkStart w:id="672" w:name="_Toc101954155"/>
      <w:bookmarkStart w:id="673" w:name="_Toc101971972"/>
      <w:bookmarkStart w:id="674" w:name="_Toc101974064"/>
      <w:bookmarkStart w:id="675" w:name="_Toc102039749"/>
      <w:bookmarkStart w:id="676" w:name="_Toc102039787"/>
      <w:bookmarkStart w:id="677" w:name="_Toc102039827"/>
      <w:bookmarkStart w:id="678" w:name="_Toc102039858"/>
      <w:bookmarkStart w:id="679" w:name="_Toc102040916"/>
      <w:bookmarkStart w:id="680" w:name="_Toc102477764"/>
      <w:bookmarkStart w:id="681" w:name="_Toc102477795"/>
      <w:bookmarkStart w:id="682" w:name="_Toc109824825"/>
      <w:bookmarkStart w:id="683" w:name="_Toc109828781"/>
      <w:bookmarkStart w:id="684" w:name="_Toc109828844"/>
      <w:bookmarkStart w:id="685" w:name="_Toc109829020"/>
      <w:bookmarkStart w:id="686" w:name="_Toc109829051"/>
      <w:bookmarkStart w:id="687" w:name="_Toc109833895"/>
      <w:bookmarkStart w:id="688" w:name="_Toc110237438"/>
      <w:bookmarkStart w:id="689" w:name="_Toc117775315"/>
      <w:bookmarkStart w:id="690" w:name="_Toc117781284"/>
      <w:bookmarkStart w:id="691" w:name="_Toc125620813"/>
      <w:bookmarkStart w:id="692" w:name="_Toc125620844"/>
      <w:bookmarkStart w:id="693" w:name="_Toc125620875"/>
      <w:bookmarkStart w:id="694" w:name="_Toc125620911"/>
      <w:bookmarkStart w:id="695" w:name="_Toc125620942"/>
      <w:bookmarkStart w:id="696" w:name="_Toc125620975"/>
      <w:bookmarkStart w:id="697" w:name="_Toc125621028"/>
      <w:bookmarkStart w:id="698" w:name="_Toc125621082"/>
      <w:bookmarkStart w:id="699" w:name="_Toc125623560"/>
      <w:bookmarkStart w:id="700" w:name="_Toc125623592"/>
      <w:bookmarkStart w:id="701" w:name="_Toc125623624"/>
      <w:bookmarkStart w:id="702" w:name="_Toc125970370"/>
      <w:bookmarkStart w:id="703" w:name="_Toc125970402"/>
      <w:bookmarkStart w:id="704" w:name="_Toc127365853"/>
      <w:bookmarkStart w:id="705" w:name="_Toc127434604"/>
      <w:bookmarkStart w:id="706" w:name="_Toc127436972"/>
      <w:bookmarkStart w:id="707" w:name="_Toc127437333"/>
      <w:bookmarkStart w:id="708" w:name="_Toc127437688"/>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36A443F6" w14:textId="7EFEC70B" w:rsidR="000F462B" w:rsidRPr="00FC4688" w:rsidRDefault="000F462B" w:rsidP="000F462B">
      <w:pPr>
        <w:pStyle w:val="Ttulo2"/>
        <w:numPr>
          <w:ilvl w:val="1"/>
          <w:numId w:val="12"/>
        </w:numPr>
        <w:tabs>
          <w:tab w:val="left" w:pos="426"/>
        </w:tabs>
        <w:spacing w:before="0"/>
        <w:ind w:left="284" w:hanging="284"/>
        <w:rPr>
          <w:rFonts w:ascii="Times New Roman" w:hAnsi="Times New Roman" w:cs="Times New Roman"/>
          <w:color w:val="auto"/>
          <w:sz w:val="24"/>
        </w:rPr>
      </w:pPr>
      <w:bookmarkStart w:id="709" w:name="_Toc127437689"/>
      <w:r w:rsidRPr="00FC4688">
        <w:rPr>
          <w:rFonts w:ascii="Times New Roman" w:hAnsi="Times New Roman" w:cs="Times New Roman"/>
          <w:color w:val="auto"/>
          <w:sz w:val="24"/>
        </w:rPr>
        <w:t xml:space="preserve">La inversión </w:t>
      </w:r>
      <w:r w:rsidR="001A6717">
        <w:rPr>
          <w:rFonts w:ascii="Times New Roman" w:hAnsi="Times New Roman" w:cs="Times New Roman"/>
          <w:color w:val="auto"/>
          <w:sz w:val="24"/>
        </w:rPr>
        <w:t>aumento en 2022</w:t>
      </w:r>
      <w:bookmarkEnd w:id="709"/>
    </w:p>
    <w:p w14:paraId="676E2C84" w14:textId="264E0655" w:rsidR="0082342B" w:rsidRDefault="00183B3E" w:rsidP="00CD34D6">
      <w:pPr>
        <w:rPr>
          <w:rFonts w:cs="Times New Roman"/>
          <w:szCs w:val="22"/>
        </w:rPr>
      </w:pPr>
      <w:r w:rsidRPr="00FC4688">
        <w:rPr>
          <w:rFonts w:cs="Times New Roman"/>
          <w:szCs w:val="22"/>
        </w:rPr>
        <w:t xml:space="preserve">La inversión bruta en activos no financieros </w:t>
      </w:r>
      <w:r w:rsidR="00D55029">
        <w:rPr>
          <w:rFonts w:cs="Times New Roman"/>
          <w:szCs w:val="22"/>
        </w:rPr>
        <w:t xml:space="preserve">al finalizar el </w:t>
      </w:r>
      <w:r w:rsidRPr="00FC4688">
        <w:rPr>
          <w:rFonts w:cs="Times New Roman"/>
          <w:szCs w:val="22"/>
        </w:rPr>
        <w:t xml:space="preserve">2022 </w:t>
      </w:r>
      <w:r w:rsidR="00D55029">
        <w:rPr>
          <w:rFonts w:cs="Times New Roman"/>
          <w:szCs w:val="22"/>
        </w:rPr>
        <w:t xml:space="preserve">se sitúa en </w:t>
      </w:r>
      <w:r w:rsidRPr="00FC4688">
        <w:rPr>
          <w:rFonts w:cs="Times New Roman"/>
          <w:szCs w:val="22"/>
        </w:rPr>
        <w:t>Q</w:t>
      </w:r>
      <w:r w:rsidR="001A6717" w:rsidRPr="001A6717">
        <w:rPr>
          <w:rFonts w:cs="Times New Roman"/>
          <w:szCs w:val="22"/>
        </w:rPr>
        <w:t xml:space="preserve">4,622.8 </w:t>
      </w:r>
      <w:r w:rsidRPr="00FC4688">
        <w:rPr>
          <w:rFonts w:cs="Times New Roman"/>
          <w:szCs w:val="22"/>
        </w:rPr>
        <w:t>millones</w:t>
      </w:r>
      <w:r w:rsidR="00A87D57">
        <w:rPr>
          <w:rFonts w:cs="Times New Roman"/>
          <w:szCs w:val="22"/>
        </w:rPr>
        <w:t xml:space="preserve">, mostrando </w:t>
      </w:r>
      <w:r w:rsidR="00DD5A92">
        <w:rPr>
          <w:rFonts w:cs="Times New Roman"/>
          <w:szCs w:val="22"/>
        </w:rPr>
        <w:t>un aumento</w:t>
      </w:r>
      <w:r w:rsidR="001A6717">
        <w:rPr>
          <w:rFonts w:cs="Times New Roman"/>
          <w:szCs w:val="22"/>
        </w:rPr>
        <w:t xml:space="preserve"> </w:t>
      </w:r>
      <w:r w:rsidR="00A87D57">
        <w:rPr>
          <w:rFonts w:cs="Times New Roman"/>
          <w:szCs w:val="22"/>
        </w:rPr>
        <w:t xml:space="preserve">interanual </w:t>
      </w:r>
      <w:r w:rsidR="001A6717">
        <w:rPr>
          <w:rFonts w:cs="Times New Roman"/>
          <w:szCs w:val="22"/>
        </w:rPr>
        <w:t xml:space="preserve">del </w:t>
      </w:r>
      <w:r w:rsidR="00A6401D">
        <w:rPr>
          <w:rFonts w:cs="Times New Roman"/>
          <w:szCs w:val="22"/>
        </w:rPr>
        <w:t>23.3% (Q</w:t>
      </w:r>
      <w:r w:rsidR="00A6401D" w:rsidRPr="00A6401D">
        <w:rPr>
          <w:rFonts w:cs="Times New Roman"/>
          <w:szCs w:val="22"/>
        </w:rPr>
        <w:t>873.9</w:t>
      </w:r>
      <w:r w:rsidR="00A6401D">
        <w:rPr>
          <w:rFonts w:cs="Times New Roman"/>
          <w:szCs w:val="22"/>
        </w:rPr>
        <w:t xml:space="preserve"> millones)</w:t>
      </w:r>
      <w:r w:rsidR="00482FEC">
        <w:rPr>
          <w:rFonts w:cs="Times New Roman"/>
          <w:szCs w:val="22"/>
        </w:rPr>
        <w:t xml:space="preserve"> respecto a lo observado en 2021</w:t>
      </w:r>
      <w:r w:rsidR="00A6401D">
        <w:rPr>
          <w:rFonts w:cs="Times New Roman"/>
          <w:szCs w:val="22"/>
        </w:rPr>
        <w:t>. La mayor inversión durante el año fue realiza</w:t>
      </w:r>
      <w:r w:rsidR="00482FEC">
        <w:rPr>
          <w:rFonts w:cs="Times New Roman"/>
          <w:szCs w:val="22"/>
        </w:rPr>
        <w:t>da</w:t>
      </w:r>
      <w:r w:rsidR="00A6401D">
        <w:rPr>
          <w:rFonts w:cs="Times New Roman"/>
          <w:szCs w:val="22"/>
        </w:rPr>
        <w:t xml:space="preserve"> en </w:t>
      </w:r>
      <w:r w:rsidR="00CB746C">
        <w:rPr>
          <w:rFonts w:cs="Times New Roman"/>
          <w:szCs w:val="22"/>
        </w:rPr>
        <w:t xml:space="preserve">edificios y estructuras que </w:t>
      </w:r>
      <w:r w:rsidR="00376E3F">
        <w:rPr>
          <w:rFonts w:cs="Times New Roman"/>
          <w:szCs w:val="22"/>
        </w:rPr>
        <w:t>asciende a Q</w:t>
      </w:r>
      <w:r w:rsidR="00376E3F" w:rsidRPr="00376E3F">
        <w:rPr>
          <w:rFonts w:cs="Times New Roman"/>
          <w:szCs w:val="22"/>
        </w:rPr>
        <w:t xml:space="preserve">3,393.9 </w:t>
      </w:r>
      <w:r w:rsidR="00376E3F">
        <w:rPr>
          <w:rFonts w:cs="Times New Roman"/>
          <w:szCs w:val="22"/>
        </w:rPr>
        <w:t>millones</w:t>
      </w:r>
      <w:r w:rsidR="00A87D57">
        <w:rPr>
          <w:rFonts w:cs="Times New Roman"/>
          <w:szCs w:val="22"/>
        </w:rPr>
        <w:t>,</w:t>
      </w:r>
      <w:r w:rsidR="00376E3F">
        <w:rPr>
          <w:rFonts w:cs="Times New Roman"/>
          <w:szCs w:val="22"/>
        </w:rPr>
        <w:t xml:space="preserve"> con un aumento del 9</w:t>
      </w:r>
      <w:r w:rsidR="00887326">
        <w:rPr>
          <w:rFonts w:cs="Times New Roman"/>
          <w:szCs w:val="22"/>
        </w:rPr>
        <w:t>% (Q</w:t>
      </w:r>
      <w:r w:rsidR="00887326" w:rsidRPr="00887326">
        <w:rPr>
          <w:rFonts w:cs="Times New Roman"/>
          <w:szCs w:val="22"/>
        </w:rPr>
        <w:t xml:space="preserve">278.8 </w:t>
      </w:r>
      <w:r w:rsidR="00887326">
        <w:rPr>
          <w:rFonts w:cs="Times New Roman"/>
          <w:szCs w:val="22"/>
        </w:rPr>
        <w:t>millones)</w:t>
      </w:r>
      <w:r w:rsidR="00482FEC">
        <w:rPr>
          <w:rFonts w:cs="Times New Roman"/>
          <w:szCs w:val="22"/>
        </w:rPr>
        <w:t xml:space="preserve"> y </w:t>
      </w:r>
      <w:r w:rsidR="0082342B">
        <w:rPr>
          <w:rFonts w:cs="Times New Roman"/>
          <w:szCs w:val="22"/>
        </w:rPr>
        <w:t xml:space="preserve">dentro de esta cuenta cabe resaltar a </w:t>
      </w:r>
      <w:r w:rsidR="007009F8">
        <w:rPr>
          <w:rFonts w:cs="Times New Roman"/>
          <w:szCs w:val="22"/>
        </w:rPr>
        <w:t>la inversión</w:t>
      </w:r>
      <w:r w:rsidR="0082342B">
        <w:rPr>
          <w:rFonts w:cs="Times New Roman"/>
          <w:szCs w:val="22"/>
        </w:rPr>
        <w:t xml:space="preserve"> en las construcciones de bienes nacio</w:t>
      </w:r>
      <w:r w:rsidR="00141CCF">
        <w:rPr>
          <w:rFonts w:cs="Times New Roman"/>
          <w:szCs w:val="22"/>
        </w:rPr>
        <w:t xml:space="preserve">nales </w:t>
      </w:r>
      <w:r w:rsidR="0082342B">
        <w:rPr>
          <w:rFonts w:cs="Times New Roman"/>
          <w:szCs w:val="22"/>
        </w:rPr>
        <w:t>de uso común</w:t>
      </w:r>
      <w:r w:rsidR="001E13DE">
        <w:rPr>
          <w:rFonts w:cs="Times New Roman"/>
          <w:szCs w:val="22"/>
        </w:rPr>
        <w:t xml:space="preserve"> (incluye las construcciones y ampliaciones de carreteras</w:t>
      </w:r>
      <w:r w:rsidR="000B6D0C">
        <w:rPr>
          <w:rFonts w:cs="Times New Roman"/>
          <w:szCs w:val="22"/>
        </w:rPr>
        <w:t xml:space="preserve"> y puentes</w:t>
      </w:r>
      <w:r w:rsidR="00FB2CCC">
        <w:rPr>
          <w:rFonts w:cs="Times New Roman"/>
          <w:szCs w:val="22"/>
        </w:rPr>
        <w:t>,</w:t>
      </w:r>
      <w:r w:rsidR="001F2638">
        <w:rPr>
          <w:rFonts w:cs="Times New Roman"/>
          <w:szCs w:val="22"/>
        </w:rPr>
        <w:t xml:space="preserve"> entre otros</w:t>
      </w:r>
      <w:r w:rsidR="000B6D0C">
        <w:rPr>
          <w:rFonts w:cs="Times New Roman"/>
          <w:szCs w:val="22"/>
        </w:rPr>
        <w:t>)</w:t>
      </w:r>
      <w:r w:rsidR="0082342B">
        <w:rPr>
          <w:rFonts w:cs="Times New Roman"/>
          <w:szCs w:val="22"/>
        </w:rPr>
        <w:t xml:space="preserve"> como la </w:t>
      </w:r>
      <w:r w:rsidR="00C72FF6">
        <w:rPr>
          <w:rFonts w:cs="Times New Roman"/>
          <w:szCs w:val="22"/>
        </w:rPr>
        <w:t>más</w:t>
      </w:r>
      <w:r w:rsidR="0082342B">
        <w:rPr>
          <w:rFonts w:cs="Times New Roman"/>
          <w:szCs w:val="22"/>
        </w:rPr>
        <w:t xml:space="preserve"> importante </w:t>
      </w:r>
      <w:r w:rsidR="007009F8">
        <w:rPr>
          <w:rFonts w:cs="Times New Roman"/>
          <w:szCs w:val="22"/>
        </w:rPr>
        <w:t>con una ejecución de Q</w:t>
      </w:r>
      <w:r w:rsidR="00C72FF6" w:rsidRPr="00C72FF6">
        <w:rPr>
          <w:rFonts w:cs="Times New Roman"/>
          <w:szCs w:val="22"/>
        </w:rPr>
        <w:t>2,577.8</w:t>
      </w:r>
      <w:r w:rsidR="00C72FF6">
        <w:rPr>
          <w:rFonts w:cs="Times New Roman"/>
          <w:szCs w:val="22"/>
        </w:rPr>
        <w:t xml:space="preserve"> millones</w:t>
      </w:r>
      <w:r w:rsidR="00FB2CCC">
        <w:rPr>
          <w:rFonts w:cs="Times New Roman"/>
          <w:szCs w:val="22"/>
        </w:rPr>
        <w:t>,</w:t>
      </w:r>
      <w:r w:rsidR="000B6D0C">
        <w:rPr>
          <w:rFonts w:cs="Times New Roman"/>
          <w:szCs w:val="22"/>
        </w:rPr>
        <w:t xml:space="preserve"> seguido de</w:t>
      </w:r>
      <w:r w:rsidR="00105FFE">
        <w:rPr>
          <w:rFonts w:cs="Times New Roman"/>
          <w:szCs w:val="22"/>
        </w:rPr>
        <w:t xml:space="preserve"> la inversión en </w:t>
      </w:r>
      <w:r w:rsidR="00FB7BB8" w:rsidRPr="00FB7BB8">
        <w:rPr>
          <w:rFonts w:cs="Times New Roman"/>
          <w:szCs w:val="22"/>
        </w:rPr>
        <w:t>construcciones de bienes nacionales de uso no común</w:t>
      </w:r>
      <w:r w:rsidR="00FB7BB8">
        <w:rPr>
          <w:rFonts w:cs="Times New Roman"/>
          <w:szCs w:val="22"/>
        </w:rPr>
        <w:t xml:space="preserve"> (</w:t>
      </w:r>
      <w:r w:rsidR="00BE1051">
        <w:rPr>
          <w:rFonts w:cs="Times New Roman"/>
          <w:szCs w:val="22"/>
        </w:rPr>
        <w:t>incluye</w:t>
      </w:r>
      <w:r w:rsidR="008D7BFA">
        <w:rPr>
          <w:rFonts w:cs="Times New Roman"/>
          <w:szCs w:val="22"/>
        </w:rPr>
        <w:t xml:space="preserve"> la construcción de </w:t>
      </w:r>
      <w:r w:rsidR="001F2638">
        <w:rPr>
          <w:rFonts w:cs="Times New Roman"/>
          <w:szCs w:val="22"/>
        </w:rPr>
        <w:t>escuelas, hospitales y edificios entre otros)</w:t>
      </w:r>
      <w:r w:rsidR="000A7DD5">
        <w:rPr>
          <w:rFonts w:cs="Times New Roman"/>
          <w:szCs w:val="22"/>
        </w:rPr>
        <w:t xml:space="preserve"> que tuvo una ejecución de Q</w:t>
      </w:r>
      <w:r w:rsidR="0020176B">
        <w:rPr>
          <w:rFonts w:cs="Times New Roman"/>
          <w:szCs w:val="22"/>
        </w:rPr>
        <w:t>701.2 millones</w:t>
      </w:r>
      <w:r w:rsidR="00AC4FCD">
        <w:rPr>
          <w:rFonts w:cs="Times New Roman"/>
          <w:szCs w:val="22"/>
        </w:rPr>
        <w:t>.</w:t>
      </w:r>
    </w:p>
    <w:p w14:paraId="31497F7E" w14:textId="77777777" w:rsidR="0082342B" w:rsidRDefault="0082342B" w:rsidP="00CD34D6">
      <w:pPr>
        <w:rPr>
          <w:rFonts w:cs="Times New Roman"/>
          <w:szCs w:val="22"/>
        </w:rPr>
      </w:pPr>
    </w:p>
    <w:p w14:paraId="34D480F5" w14:textId="07D3EDC4" w:rsidR="00F3371E" w:rsidRDefault="00AC4FCD" w:rsidP="00CD34D6">
      <w:pPr>
        <w:rPr>
          <w:rFonts w:cs="Times New Roman"/>
          <w:szCs w:val="22"/>
        </w:rPr>
      </w:pPr>
      <w:r w:rsidRPr="00E73A95">
        <w:rPr>
          <w:rFonts w:cs="Times New Roman"/>
          <w:szCs w:val="22"/>
        </w:rPr>
        <w:t xml:space="preserve">En cuanto a </w:t>
      </w:r>
      <w:r w:rsidR="00887326" w:rsidRPr="00E73A95">
        <w:rPr>
          <w:rFonts w:cs="Times New Roman"/>
          <w:szCs w:val="22"/>
        </w:rPr>
        <w:t>la inversión en maquinaria y equipo</w:t>
      </w:r>
      <w:r w:rsidRPr="00E73A95">
        <w:rPr>
          <w:rFonts w:cs="Times New Roman"/>
          <w:szCs w:val="22"/>
        </w:rPr>
        <w:t xml:space="preserve">, </w:t>
      </w:r>
      <w:r w:rsidR="00F70EA0">
        <w:rPr>
          <w:rFonts w:cs="Times New Roman"/>
          <w:szCs w:val="22"/>
        </w:rPr>
        <w:t>é</w:t>
      </w:r>
      <w:r w:rsidRPr="00E73A95">
        <w:rPr>
          <w:rFonts w:cs="Times New Roman"/>
          <w:szCs w:val="22"/>
        </w:rPr>
        <w:t>sta</w:t>
      </w:r>
      <w:r w:rsidR="00887326" w:rsidRPr="00E73A95">
        <w:rPr>
          <w:rFonts w:cs="Times New Roman"/>
          <w:szCs w:val="22"/>
        </w:rPr>
        <w:t xml:space="preserve"> fue de Q</w:t>
      </w:r>
      <w:r w:rsidR="00207811" w:rsidRPr="00E73A95">
        <w:rPr>
          <w:rFonts w:cs="Times New Roman"/>
          <w:szCs w:val="22"/>
        </w:rPr>
        <w:t>1,212.9 millones</w:t>
      </w:r>
      <w:r w:rsidR="00887326" w:rsidRPr="00E73A95">
        <w:rPr>
          <w:rFonts w:cs="Times New Roman"/>
          <w:szCs w:val="22"/>
        </w:rPr>
        <w:t xml:space="preserve"> con un incremento del </w:t>
      </w:r>
      <w:r w:rsidR="00C43672" w:rsidRPr="00E73A95">
        <w:rPr>
          <w:rFonts w:cs="Times New Roman"/>
          <w:szCs w:val="22"/>
        </w:rPr>
        <w:t>98.3% (Q601.1 millones)</w:t>
      </w:r>
      <w:r w:rsidR="00303418" w:rsidRPr="00E73A95">
        <w:rPr>
          <w:rFonts w:cs="Times New Roman"/>
          <w:szCs w:val="22"/>
        </w:rPr>
        <w:t xml:space="preserve"> respecto al año previo,</w:t>
      </w:r>
      <w:r w:rsidR="00D46929" w:rsidRPr="00E73A95">
        <w:rPr>
          <w:rFonts w:cs="Times New Roman"/>
          <w:szCs w:val="22"/>
        </w:rPr>
        <w:t xml:space="preserve"> siendo la compra de </w:t>
      </w:r>
      <w:r w:rsidR="00041776" w:rsidRPr="00E73A95">
        <w:rPr>
          <w:rFonts w:cs="Times New Roman"/>
          <w:szCs w:val="22"/>
        </w:rPr>
        <w:t xml:space="preserve">equipo de </w:t>
      </w:r>
      <w:proofErr w:type="spellStart"/>
      <w:r w:rsidR="00041776" w:rsidRPr="00E73A95">
        <w:rPr>
          <w:rFonts w:cs="Times New Roman"/>
          <w:szCs w:val="22"/>
        </w:rPr>
        <w:t>computo</w:t>
      </w:r>
      <w:proofErr w:type="spellEnd"/>
      <w:r w:rsidR="00041776" w:rsidRPr="00E73A95">
        <w:rPr>
          <w:rFonts w:cs="Times New Roman"/>
          <w:szCs w:val="22"/>
        </w:rPr>
        <w:t xml:space="preserve"> </w:t>
      </w:r>
      <w:r w:rsidR="005B6FD5" w:rsidRPr="00E73A95">
        <w:rPr>
          <w:rFonts w:cs="Times New Roman"/>
          <w:szCs w:val="22"/>
        </w:rPr>
        <w:t>la que tuvo un mayor incremento</w:t>
      </w:r>
      <w:r w:rsidR="00950FA1" w:rsidRPr="00E73A95">
        <w:rPr>
          <w:rFonts w:cs="Times New Roman"/>
          <w:szCs w:val="22"/>
        </w:rPr>
        <w:t xml:space="preserve"> interanual</w:t>
      </w:r>
      <w:r w:rsidR="005B6FD5" w:rsidRPr="00E73A95">
        <w:rPr>
          <w:rFonts w:cs="Times New Roman"/>
          <w:szCs w:val="22"/>
        </w:rPr>
        <w:t xml:space="preserve"> durante el año</w:t>
      </w:r>
      <w:r w:rsidR="00950FA1" w:rsidRPr="00E73A95">
        <w:rPr>
          <w:rFonts w:cs="Times New Roman"/>
          <w:szCs w:val="22"/>
        </w:rPr>
        <w:t>,</w:t>
      </w:r>
      <w:r w:rsidR="00DF4951" w:rsidRPr="00E73A95">
        <w:rPr>
          <w:rFonts w:cs="Times New Roman"/>
          <w:szCs w:val="22"/>
        </w:rPr>
        <w:t xml:space="preserve"> </w:t>
      </w:r>
      <w:r w:rsidR="00950FA1" w:rsidRPr="00E73A95">
        <w:rPr>
          <w:rFonts w:cs="Times New Roman"/>
          <w:szCs w:val="22"/>
        </w:rPr>
        <w:t>creciendo en un</w:t>
      </w:r>
      <w:r w:rsidR="00DF4951" w:rsidRPr="00E73A95">
        <w:rPr>
          <w:rFonts w:cs="Times New Roman"/>
          <w:szCs w:val="22"/>
        </w:rPr>
        <w:t xml:space="preserve"> 263% (Q213.50 millones)</w:t>
      </w:r>
      <w:r w:rsidR="00E75F95" w:rsidRPr="00E73A95">
        <w:rPr>
          <w:rFonts w:cs="Times New Roman"/>
          <w:szCs w:val="22"/>
        </w:rPr>
        <w:t xml:space="preserve"> y teniendo una ejecución total de Q294.53 millones</w:t>
      </w:r>
      <w:r w:rsidR="007A6CD4" w:rsidRPr="00E73A95">
        <w:rPr>
          <w:rFonts w:cs="Times New Roman"/>
          <w:szCs w:val="22"/>
        </w:rPr>
        <w:t xml:space="preserve"> al finalizar el 2022</w:t>
      </w:r>
      <w:r w:rsidR="001F265E" w:rsidRPr="00E73A95">
        <w:rPr>
          <w:rFonts w:cs="Times New Roman"/>
          <w:szCs w:val="22"/>
        </w:rPr>
        <w:t>.</w:t>
      </w:r>
      <w:r w:rsidR="001F265E">
        <w:rPr>
          <w:rFonts w:cs="Times New Roman"/>
          <w:szCs w:val="22"/>
        </w:rPr>
        <w:t xml:space="preserve"> </w:t>
      </w:r>
    </w:p>
    <w:p w14:paraId="0F9AB729" w14:textId="77777777" w:rsidR="00E75F95" w:rsidRDefault="00E75F95" w:rsidP="00CD34D6">
      <w:pPr>
        <w:rPr>
          <w:rFonts w:cs="Times New Roman"/>
          <w:szCs w:val="22"/>
        </w:rPr>
      </w:pPr>
    </w:p>
    <w:p w14:paraId="1243CA01" w14:textId="3EA958EF" w:rsidR="004A1C73" w:rsidRDefault="00EC6A25" w:rsidP="00CD34D6">
      <w:pPr>
        <w:rPr>
          <w:rFonts w:cs="Times New Roman"/>
          <w:szCs w:val="22"/>
        </w:rPr>
      </w:pPr>
      <w:r>
        <w:rPr>
          <w:rFonts w:cs="Times New Roman"/>
          <w:szCs w:val="22"/>
        </w:rPr>
        <w:t>E</w:t>
      </w:r>
      <w:r w:rsidR="009E79C9">
        <w:rPr>
          <w:rFonts w:cs="Times New Roman"/>
          <w:szCs w:val="22"/>
        </w:rPr>
        <w:t xml:space="preserve">l resto de </w:t>
      </w:r>
      <w:r>
        <w:rPr>
          <w:rFonts w:cs="Times New Roman"/>
          <w:szCs w:val="22"/>
        </w:rPr>
        <w:t>las inversiones</w:t>
      </w:r>
      <w:r w:rsidR="009E79C9">
        <w:rPr>
          <w:rFonts w:cs="Times New Roman"/>
          <w:szCs w:val="22"/>
        </w:rPr>
        <w:t xml:space="preserve"> se produce por la adquisición de </w:t>
      </w:r>
      <w:r w:rsidR="004C3986">
        <w:rPr>
          <w:rFonts w:cs="Times New Roman"/>
          <w:szCs w:val="22"/>
        </w:rPr>
        <w:t xml:space="preserve">sistemas de armamento por un valor de </w:t>
      </w:r>
      <w:r w:rsidR="00EA33EB">
        <w:rPr>
          <w:rFonts w:cs="Times New Roman"/>
          <w:szCs w:val="22"/>
        </w:rPr>
        <w:t>Q</w:t>
      </w:r>
      <w:r w:rsidR="00AA3C6F">
        <w:rPr>
          <w:rFonts w:cs="Times New Roman"/>
          <w:szCs w:val="22"/>
        </w:rPr>
        <w:t>6.5 millones y por la compra de activos no producidos</w:t>
      </w:r>
      <w:r w:rsidR="000E5B2A">
        <w:rPr>
          <w:rFonts w:cs="Times New Roman"/>
          <w:szCs w:val="22"/>
        </w:rPr>
        <w:t>, específicamente en tierras y terrenos,</w:t>
      </w:r>
      <w:r w:rsidR="00AA3C6F">
        <w:rPr>
          <w:rFonts w:cs="Times New Roman"/>
          <w:szCs w:val="22"/>
        </w:rPr>
        <w:t xml:space="preserve"> </w:t>
      </w:r>
      <w:r w:rsidR="00EA33EB">
        <w:rPr>
          <w:rFonts w:cs="Times New Roman"/>
          <w:szCs w:val="22"/>
        </w:rPr>
        <w:t>por Q9.5 millones</w:t>
      </w:r>
      <w:r w:rsidR="000E5B2A">
        <w:rPr>
          <w:rFonts w:cs="Times New Roman"/>
          <w:szCs w:val="22"/>
        </w:rPr>
        <w:t>.</w:t>
      </w:r>
    </w:p>
    <w:p w14:paraId="3A279263" w14:textId="77777777" w:rsidR="00EC6A25" w:rsidRPr="00FC4688" w:rsidRDefault="00EC6A25" w:rsidP="00CD34D6">
      <w:pPr>
        <w:rPr>
          <w:rFonts w:cs="Times New Roman"/>
          <w:szCs w:val="22"/>
        </w:rPr>
      </w:pPr>
    </w:p>
    <w:p w14:paraId="60675D19" w14:textId="16A352C7" w:rsidR="00A90ED3" w:rsidRDefault="00A90ED3" w:rsidP="00CD34D6">
      <w:pPr>
        <w:rPr>
          <w:rFonts w:cs="Times New Roman"/>
          <w:szCs w:val="22"/>
        </w:rPr>
      </w:pPr>
      <w:r w:rsidRPr="00FC4688">
        <w:rPr>
          <w:rFonts w:cs="Times New Roman"/>
          <w:noProof/>
          <w:szCs w:val="22"/>
          <w:lang w:eastAsia="es-GT"/>
        </w:rPr>
        <w:drawing>
          <wp:inline distT="0" distB="0" distL="0" distR="0" wp14:anchorId="12AB5EFB" wp14:editId="568084AD">
            <wp:extent cx="6011545" cy="3642969"/>
            <wp:effectExtent l="0" t="0" r="825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8DE909" w14:textId="77777777" w:rsidR="004537B4" w:rsidRDefault="004537B4" w:rsidP="00CD34D6">
      <w:pPr>
        <w:rPr>
          <w:rFonts w:cs="Times New Roman"/>
          <w:szCs w:val="22"/>
        </w:rPr>
      </w:pPr>
    </w:p>
    <w:p w14:paraId="676F601D" w14:textId="77777777" w:rsidR="004537B4" w:rsidRDefault="004537B4" w:rsidP="00CD34D6">
      <w:pPr>
        <w:rPr>
          <w:rFonts w:cs="Times New Roman"/>
          <w:szCs w:val="22"/>
        </w:rPr>
      </w:pPr>
    </w:p>
    <w:p w14:paraId="32ADD9C0" w14:textId="77777777" w:rsidR="00B435E7" w:rsidRPr="00FC4688" w:rsidRDefault="001D54E4" w:rsidP="007B2224">
      <w:pPr>
        <w:pStyle w:val="Prrafodelista"/>
        <w:numPr>
          <w:ilvl w:val="0"/>
          <w:numId w:val="1"/>
        </w:numPr>
        <w:ind w:left="426" w:hanging="426"/>
        <w:outlineLvl w:val="0"/>
        <w:rPr>
          <w:rFonts w:cs="Times New Roman"/>
          <w:b/>
          <w:sz w:val="24"/>
          <w:lang w:val="es-MX"/>
        </w:rPr>
      </w:pPr>
      <w:bookmarkStart w:id="710" w:name="_Toc42023966"/>
      <w:bookmarkStart w:id="711" w:name="_Toc42024017"/>
      <w:bookmarkStart w:id="712" w:name="_Toc42023967"/>
      <w:bookmarkStart w:id="713" w:name="_Toc42024018"/>
      <w:bookmarkStart w:id="714" w:name="_Toc127437690"/>
      <w:bookmarkEnd w:id="710"/>
      <w:bookmarkEnd w:id="711"/>
      <w:bookmarkEnd w:id="712"/>
      <w:bookmarkEnd w:id="713"/>
      <w:r w:rsidRPr="00FC4688">
        <w:rPr>
          <w:rFonts w:cs="Times New Roman"/>
          <w:b/>
          <w:sz w:val="24"/>
          <w:lang w:val="es-MX"/>
        </w:rPr>
        <w:lastRenderedPageBreak/>
        <w:t>Financiamiento</w:t>
      </w:r>
      <w:bookmarkEnd w:id="714"/>
    </w:p>
    <w:p w14:paraId="5287581E" w14:textId="77777777" w:rsidR="000F19C1" w:rsidRPr="00FC4688"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715" w:name="_Toc55374005"/>
      <w:bookmarkStart w:id="716" w:name="_Toc55375142"/>
      <w:bookmarkStart w:id="717" w:name="_Toc55396550"/>
      <w:bookmarkStart w:id="718" w:name="_Toc65230547"/>
      <w:bookmarkStart w:id="719" w:name="_Toc65230785"/>
      <w:bookmarkStart w:id="720" w:name="_Toc65232069"/>
      <w:bookmarkStart w:id="721" w:name="_Toc65232314"/>
      <w:bookmarkStart w:id="722" w:name="_Toc66716173"/>
      <w:bookmarkStart w:id="723" w:name="_Toc71097217"/>
      <w:bookmarkStart w:id="724" w:name="_Toc71097248"/>
      <w:bookmarkStart w:id="725" w:name="_Toc71097323"/>
      <w:bookmarkStart w:id="726" w:name="_Toc71108063"/>
      <w:bookmarkStart w:id="727" w:name="_Toc79055257"/>
      <w:bookmarkStart w:id="728" w:name="_Toc79055288"/>
      <w:bookmarkStart w:id="729" w:name="_Toc79060179"/>
      <w:bookmarkStart w:id="730" w:name="_Toc79060466"/>
      <w:bookmarkStart w:id="731" w:name="_Toc81307823"/>
      <w:bookmarkStart w:id="732" w:name="_Toc83376484"/>
      <w:bookmarkStart w:id="733" w:name="_Toc86386723"/>
      <w:bookmarkStart w:id="734" w:name="_Toc86405409"/>
      <w:bookmarkStart w:id="735" w:name="_Toc98162439"/>
      <w:bookmarkStart w:id="736" w:name="_Toc98162471"/>
      <w:bookmarkStart w:id="737" w:name="_Toc98234997"/>
      <w:bookmarkStart w:id="738" w:name="_Toc98235192"/>
      <w:bookmarkStart w:id="739" w:name="_Toc98235277"/>
      <w:bookmarkStart w:id="740" w:name="_Toc98757147"/>
      <w:bookmarkStart w:id="741" w:name="_Toc101874702"/>
      <w:bookmarkStart w:id="742" w:name="_Toc101954158"/>
      <w:bookmarkStart w:id="743" w:name="_Toc101971975"/>
      <w:bookmarkStart w:id="744" w:name="_Toc101974067"/>
      <w:bookmarkStart w:id="745" w:name="_Toc102039752"/>
      <w:bookmarkStart w:id="746" w:name="_Toc102039790"/>
      <w:bookmarkStart w:id="747" w:name="_Toc102039830"/>
      <w:bookmarkStart w:id="748" w:name="_Toc102039861"/>
      <w:bookmarkStart w:id="749" w:name="_Toc102040919"/>
      <w:bookmarkStart w:id="750" w:name="_Toc102477767"/>
      <w:bookmarkStart w:id="751" w:name="_Toc102477798"/>
      <w:bookmarkStart w:id="752" w:name="_Toc109824828"/>
      <w:bookmarkStart w:id="753" w:name="_Toc109828784"/>
      <w:bookmarkStart w:id="754" w:name="_Toc109828847"/>
      <w:bookmarkStart w:id="755" w:name="_Toc109829023"/>
      <w:bookmarkStart w:id="756" w:name="_Toc109829054"/>
      <w:bookmarkStart w:id="757" w:name="_Toc109833898"/>
      <w:bookmarkStart w:id="758" w:name="_Toc110237441"/>
      <w:bookmarkStart w:id="759" w:name="_Toc117775318"/>
      <w:bookmarkStart w:id="760" w:name="_Toc117781287"/>
      <w:bookmarkStart w:id="761" w:name="_Toc125620816"/>
      <w:bookmarkStart w:id="762" w:name="_Toc125620847"/>
      <w:bookmarkStart w:id="763" w:name="_Toc125620878"/>
      <w:bookmarkStart w:id="764" w:name="_Toc125620914"/>
      <w:bookmarkStart w:id="765" w:name="_Toc125620945"/>
      <w:bookmarkStart w:id="766" w:name="_Toc125620978"/>
      <w:bookmarkStart w:id="767" w:name="_Toc125621031"/>
      <w:bookmarkStart w:id="768" w:name="_Toc125621085"/>
      <w:bookmarkStart w:id="769" w:name="_Toc125623563"/>
      <w:bookmarkStart w:id="770" w:name="_Toc125623595"/>
      <w:bookmarkStart w:id="771" w:name="_Toc125623627"/>
      <w:bookmarkStart w:id="772" w:name="_Toc125970373"/>
      <w:bookmarkStart w:id="773" w:name="_Toc125970405"/>
      <w:bookmarkStart w:id="774" w:name="_Toc127365856"/>
      <w:bookmarkStart w:id="775" w:name="_Toc127434607"/>
      <w:bookmarkStart w:id="776" w:name="_Toc127436975"/>
      <w:bookmarkStart w:id="777" w:name="_Toc127437336"/>
      <w:bookmarkStart w:id="778" w:name="_Toc127437691"/>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52D94915" w14:textId="626A14BA" w:rsidR="00E44C78" w:rsidRPr="00FC4688" w:rsidRDefault="00A173A5" w:rsidP="00E44C78">
      <w:pPr>
        <w:pStyle w:val="Ttulo2"/>
        <w:numPr>
          <w:ilvl w:val="1"/>
          <w:numId w:val="12"/>
        </w:numPr>
        <w:tabs>
          <w:tab w:val="left" w:pos="426"/>
        </w:tabs>
        <w:spacing w:before="0"/>
        <w:rPr>
          <w:rFonts w:ascii="Times New Roman" w:hAnsi="Times New Roman" w:cs="Times New Roman"/>
          <w:color w:val="auto"/>
          <w:sz w:val="24"/>
        </w:rPr>
      </w:pPr>
      <w:bookmarkStart w:id="779" w:name="_Toc127437692"/>
      <w:r>
        <w:rPr>
          <w:rFonts w:ascii="Times New Roman" w:hAnsi="Times New Roman" w:cs="Times New Roman"/>
          <w:color w:val="auto"/>
          <w:sz w:val="24"/>
        </w:rPr>
        <w:t>Disminuyeron</w:t>
      </w:r>
      <w:r w:rsidR="007B70FB">
        <w:rPr>
          <w:rFonts w:ascii="Times New Roman" w:hAnsi="Times New Roman" w:cs="Times New Roman"/>
          <w:color w:val="auto"/>
          <w:sz w:val="24"/>
        </w:rPr>
        <w:t xml:space="preserve"> </w:t>
      </w:r>
      <w:r>
        <w:rPr>
          <w:rFonts w:ascii="Times New Roman" w:hAnsi="Times New Roman" w:cs="Times New Roman"/>
          <w:color w:val="auto"/>
          <w:sz w:val="24"/>
        </w:rPr>
        <w:t>los</w:t>
      </w:r>
      <w:r w:rsidR="007B70FB" w:rsidRPr="00FC4688">
        <w:rPr>
          <w:rFonts w:ascii="Times New Roman" w:hAnsi="Times New Roman" w:cs="Times New Roman"/>
          <w:color w:val="auto"/>
          <w:sz w:val="24"/>
        </w:rPr>
        <w:t xml:space="preserve"> activos financieros</w:t>
      </w:r>
      <w:r w:rsidR="008773A4" w:rsidRPr="00FC4688">
        <w:rPr>
          <w:rFonts w:ascii="Times New Roman" w:hAnsi="Times New Roman" w:cs="Times New Roman"/>
          <w:color w:val="auto"/>
          <w:sz w:val="24"/>
        </w:rPr>
        <w:t>.</w:t>
      </w:r>
      <w:bookmarkEnd w:id="779"/>
    </w:p>
    <w:p w14:paraId="79FDDCFC" w14:textId="23E6371C" w:rsidR="00E44C78" w:rsidRDefault="009F6CEB" w:rsidP="00F46ECF">
      <w:r w:rsidRPr="009F6CEB">
        <w:t xml:space="preserve">A diciembre de 2022 se observa que los activos financieros presentan disminución </w:t>
      </w:r>
      <w:r w:rsidR="00536E19">
        <w:t>por</w:t>
      </w:r>
      <w:r w:rsidRPr="009F6CEB">
        <w:t xml:space="preserve"> Q3,646.2 millones, de los cuales</w:t>
      </w:r>
      <w:r w:rsidR="003635F0">
        <w:t>,</w:t>
      </w:r>
      <w:r w:rsidRPr="009F6CEB">
        <w:t xml:space="preserve"> la cuenta de billetes, monedas y depósitos (caja y bancos) </w:t>
      </w:r>
      <w:r w:rsidR="00017FF6">
        <w:t>se redujo en</w:t>
      </w:r>
      <w:r w:rsidRPr="009F6CEB">
        <w:t xml:space="preserve"> Q3,601.4 millones, mientras los préstamos disminuyeron Q44.8 millones.</w:t>
      </w:r>
    </w:p>
    <w:p w14:paraId="2DEE9A2F" w14:textId="77777777" w:rsidR="009F6CEB" w:rsidRPr="00FC4688" w:rsidRDefault="009F6CEB" w:rsidP="00F46ECF"/>
    <w:p w14:paraId="0D166D80" w14:textId="51650D70" w:rsidR="00470A42" w:rsidRPr="00FC4688" w:rsidRDefault="00470A42" w:rsidP="001A4D7B">
      <w:pPr>
        <w:jc w:val="center"/>
        <w:rPr>
          <w:b/>
          <w:bCs/>
        </w:rPr>
      </w:pPr>
      <w:r w:rsidRPr="00FC4688">
        <w:rPr>
          <w:b/>
          <w:bCs/>
        </w:rPr>
        <w:t xml:space="preserve">Incurrimiento neto de </w:t>
      </w:r>
      <w:r w:rsidR="00512290" w:rsidRPr="00FC4688">
        <w:rPr>
          <w:b/>
          <w:bCs/>
        </w:rPr>
        <w:t>activos financieros</w:t>
      </w:r>
      <w:r w:rsidRPr="00FC4688">
        <w:rPr>
          <w:b/>
          <w:bCs/>
        </w:rPr>
        <w:t xml:space="preserve"> </w:t>
      </w:r>
      <w:r w:rsidR="00FD7002" w:rsidRPr="00FC4688">
        <w:rPr>
          <w:b/>
          <w:bCs/>
        </w:rPr>
        <w:t xml:space="preserve">a </w:t>
      </w:r>
      <w:r w:rsidR="004E4DFA">
        <w:rPr>
          <w:b/>
          <w:bCs/>
        </w:rPr>
        <w:t>diciembre</w:t>
      </w:r>
      <w:r w:rsidR="00FD7002" w:rsidRPr="00FC4688">
        <w:rPr>
          <w:b/>
          <w:bCs/>
        </w:rPr>
        <w:t xml:space="preserve"> de </w:t>
      </w:r>
      <w:r w:rsidR="00ED71F1" w:rsidRPr="00FC4688">
        <w:rPr>
          <w:b/>
          <w:bCs/>
        </w:rPr>
        <w:t>202</w:t>
      </w:r>
      <w:r w:rsidR="00BF1308" w:rsidRPr="00FC4688">
        <w:rPr>
          <w:b/>
          <w:bCs/>
        </w:rPr>
        <w:t>2</w:t>
      </w:r>
      <w:r w:rsidRPr="00FC4688">
        <w:rPr>
          <w:b/>
          <w:bCs/>
        </w:rPr>
        <w:t>*</w:t>
      </w:r>
    </w:p>
    <w:p w14:paraId="30738EC2" w14:textId="77777777" w:rsidR="00470A42" w:rsidRPr="00FC4688" w:rsidRDefault="00470A42" w:rsidP="006D1A13">
      <w:pPr>
        <w:jc w:val="center"/>
      </w:pPr>
      <w:r w:rsidRPr="00FC4688">
        <w:rPr>
          <w:sz w:val="20"/>
          <w:szCs w:val="22"/>
        </w:rPr>
        <w:t xml:space="preserve">En millones de </w:t>
      </w:r>
      <w:r w:rsidR="003D1F3C" w:rsidRPr="00FC4688">
        <w:rPr>
          <w:sz w:val="20"/>
          <w:szCs w:val="22"/>
        </w:rPr>
        <w:t>q</w:t>
      </w:r>
      <w:r w:rsidRPr="00FC4688">
        <w:rPr>
          <w:sz w:val="20"/>
          <w:szCs w:val="22"/>
        </w:rPr>
        <w:t>uetzales</w:t>
      </w:r>
      <w:r w:rsidR="003D1F3C" w:rsidRPr="00FC4688">
        <w:rPr>
          <w:sz w:val="20"/>
          <w:szCs w:val="22"/>
        </w:rPr>
        <w:t xml:space="preserve"> y porcentajes</w:t>
      </w:r>
    </w:p>
    <w:p w14:paraId="5C387859" w14:textId="3B3AC3DD" w:rsidR="00731535" w:rsidRPr="00FC4688" w:rsidRDefault="0069746E" w:rsidP="006D1A13">
      <w:pPr>
        <w:jc w:val="center"/>
      </w:pPr>
      <w:r w:rsidRPr="00FC4688">
        <w:rPr>
          <w:b/>
          <w:bCs/>
          <w:noProof/>
          <w:lang w:eastAsia="es-GT"/>
        </w:rPr>
        <w:drawing>
          <wp:inline distT="0" distB="0" distL="0" distR="0" wp14:anchorId="2AABB9F9" wp14:editId="69F56609">
            <wp:extent cx="3303905" cy="21907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E4DFA" w:rsidRPr="00FC4688">
        <w:rPr>
          <w:noProof/>
          <w:lang w:eastAsia="es-GT"/>
        </w:rPr>
        <w:drawing>
          <wp:inline distT="0" distB="0" distL="0" distR="0" wp14:anchorId="5878D245" wp14:editId="46377CEE">
            <wp:extent cx="2562225" cy="22574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6DE04B" w14:textId="77777777" w:rsidR="001E71BF" w:rsidRPr="00FC4688" w:rsidRDefault="001E71BF" w:rsidP="001E71BF">
      <w:pPr>
        <w:rPr>
          <w:rFonts w:cs="Times New Roman"/>
          <w:sz w:val="16"/>
          <w:szCs w:val="22"/>
          <w:lang w:val="es-MX"/>
        </w:rPr>
      </w:pPr>
      <w:r w:rsidRPr="00FC4688">
        <w:rPr>
          <w:rFonts w:cs="Times New Roman"/>
          <w:sz w:val="16"/>
          <w:szCs w:val="22"/>
          <w:lang w:val="es-MX"/>
        </w:rPr>
        <w:t>*Cifras preliminares</w:t>
      </w:r>
    </w:p>
    <w:p w14:paraId="7B42A803" w14:textId="77777777" w:rsidR="001E71BF" w:rsidRPr="00FC4688" w:rsidRDefault="001E71BF" w:rsidP="001E71BF">
      <w:pPr>
        <w:rPr>
          <w:rFonts w:cs="Times New Roman"/>
          <w:sz w:val="16"/>
          <w:szCs w:val="22"/>
          <w:lang w:val="es-MX"/>
        </w:rPr>
      </w:pPr>
      <w:r w:rsidRPr="00FC4688">
        <w:rPr>
          <w:rFonts w:cs="Times New Roman"/>
          <w:sz w:val="16"/>
          <w:szCs w:val="22"/>
          <w:lang w:val="es-MX"/>
        </w:rPr>
        <w:t>Fuente: MINFIN</w:t>
      </w:r>
    </w:p>
    <w:p w14:paraId="37A69D73" w14:textId="77777777" w:rsidR="00D819A7" w:rsidRPr="0039579C" w:rsidRDefault="00D819A7" w:rsidP="001E71BF">
      <w:pPr>
        <w:rPr>
          <w:rFonts w:eastAsiaTheme="majorEastAsia" w:cs="Times New Roman"/>
          <w:b/>
          <w:bCs/>
          <w:sz w:val="24"/>
          <w:szCs w:val="26"/>
        </w:rPr>
      </w:pPr>
    </w:p>
    <w:p w14:paraId="19F7C5EB" w14:textId="20BD7263" w:rsidR="0079227F" w:rsidRPr="0039579C" w:rsidRDefault="002A4680" w:rsidP="0039579C">
      <w:pPr>
        <w:pStyle w:val="Ttulo2"/>
        <w:numPr>
          <w:ilvl w:val="1"/>
          <w:numId w:val="12"/>
        </w:numPr>
        <w:tabs>
          <w:tab w:val="left" w:pos="426"/>
        </w:tabs>
        <w:spacing w:before="0"/>
        <w:rPr>
          <w:rFonts w:ascii="Times New Roman" w:hAnsi="Times New Roman" w:cs="Times New Roman"/>
          <w:color w:val="auto"/>
          <w:sz w:val="24"/>
        </w:rPr>
      </w:pPr>
      <w:bookmarkStart w:id="780" w:name="_Toc127437693"/>
      <w:r>
        <w:rPr>
          <w:rFonts w:ascii="Times New Roman" w:hAnsi="Times New Roman" w:cs="Times New Roman"/>
          <w:color w:val="auto"/>
          <w:sz w:val="24"/>
        </w:rPr>
        <w:t>Aumentaron los pasivos</w:t>
      </w:r>
      <w:bookmarkEnd w:id="780"/>
    </w:p>
    <w:p w14:paraId="5457DA79" w14:textId="0E8BE0C6" w:rsidR="00B30207" w:rsidRDefault="003824AD" w:rsidP="00122F2F">
      <w:r w:rsidRPr="003824AD">
        <w:t xml:space="preserve">En cuanto al </w:t>
      </w:r>
      <w:r w:rsidR="004F2ABE">
        <w:t>uso de</w:t>
      </w:r>
      <w:r w:rsidRPr="003824AD">
        <w:t xml:space="preserve"> pasivos</w:t>
      </w:r>
      <w:r w:rsidR="004F2ABE">
        <w:t xml:space="preserve"> como fuente de financiamiento</w:t>
      </w:r>
      <w:r w:rsidRPr="003824AD">
        <w:t xml:space="preserve">, al mes de diciembre </w:t>
      </w:r>
      <w:r w:rsidR="00B13E3A">
        <w:t>e</w:t>
      </w:r>
      <w:r w:rsidRPr="003824AD">
        <w:t xml:space="preserve">stos presentaron </w:t>
      </w:r>
      <w:r w:rsidR="00B13E3A">
        <w:t xml:space="preserve">un </w:t>
      </w:r>
      <w:r w:rsidRPr="003824AD">
        <w:t>incremento de Q8,932.1 millones.  El mayor movimiento fue registrado en los títulos de deuda, con</w:t>
      </w:r>
      <w:r w:rsidR="00B13E3A">
        <w:t xml:space="preserve"> un</w:t>
      </w:r>
      <w:r w:rsidRPr="003824AD">
        <w:t xml:space="preserve"> aumento de Q6,896.5 millones, </w:t>
      </w:r>
      <w:r w:rsidR="00B81340">
        <w:t xml:space="preserve">aunque es importante resaltar que se dejaron de </w:t>
      </w:r>
      <w:r w:rsidR="00C331DE">
        <w:t>colocar bonos de tesoro en este año por Q</w:t>
      </w:r>
      <w:r w:rsidR="007936EB" w:rsidRPr="007936EB">
        <w:t>5,165.69</w:t>
      </w:r>
      <w:r w:rsidR="007936EB">
        <w:t xml:space="preserve"> </w:t>
      </w:r>
      <w:r w:rsidR="00C331DE">
        <w:t>millones, los cuales habían sido autorizados por el Congreso de la República</w:t>
      </w:r>
      <w:r w:rsidR="009E2304">
        <w:t xml:space="preserve">.  Por su parte, </w:t>
      </w:r>
      <w:r w:rsidRPr="003824AD">
        <w:t>los préstamos</w:t>
      </w:r>
      <w:r w:rsidR="00794E0C">
        <w:t xml:space="preserve"> externos muestran un</w:t>
      </w:r>
      <w:r w:rsidRPr="003824AD">
        <w:t xml:space="preserve"> </w:t>
      </w:r>
      <w:r w:rsidR="00794E0C">
        <w:t>aumento de</w:t>
      </w:r>
      <w:r w:rsidRPr="003824AD">
        <w:t xml:space="preserve"> Q1,724.0 millones, en tanto otras cuentas por pagar</w:t>
      </w:r>
      <w:r w:rsidR="00A468C0">
        <w:t xml:space="preserve">, </w:t>
      </w:r>
      <w:r w:rsidR="00273363">
        <w:t>aumentaron</w:t>
      </w:r>
      <w:r w:rsidRPr="003824AD">
        <w:t xml:space="preserve"> en Q311.6 millones.</w:t>
      </w:r>
    </w:p>
    <w:p w14:paraId="36080309" w14:textId="77777777" w:rsidR="003824AD" w:rsidRPr="00FC4688" w:rsidRDefault="003824AD" w:rsidP="00122F2F"/>
    <w:tbl>
      <w:tblPr>
        <w:tblStyle w:val="Tablaconcuadrcula"/>
        <w:tblW w:w="9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0"/>
        <w:gridCol w:w="3746"/>
      </w:tblGrid>
      <w:tr w:rsidR="0061446B" w:rsidRPr="00FC4688" w14:paraId="170F85A0" w14:textId="77777777" w:rsidTr="00B30207">
        <w:trPr>
          <w:trHeight w:val="11"/>
          <w:jc w:val="center"/>
        </w:trPr>
        <w:tc>
          <w:tcPr>
            <w:tcW w:w="9396" w:type="dxa"/>
            <w:gridSpan w:val="2"/>
          </w:tcPr>
          <w:p w14:paraId="53CD2781" w14:textId="75E7DCA2" w:rsidR="0061446B" w:rsidRPr="00FC4688" w:rsidRDefault="0061446B" w:rsidP="00E34A48">
            <w:pPr>
              <w:jc w:val="center"/>
              <w:rPr>
                <w:b/>
                <w:bCs/>
              </w:rPr>
            </w:pPr>
            <w:r w:rsidRPr="00FC4688">
              <w:rPr>
                <w:b/>
                <w:bCs/>
              </w:rPr>
              <w:t>Incurrimiento neto de pasivos</w:t>
            </w:r>
            <w:r w:rsidR="009D176B" w:rsidRPr="00FC4688">
              <w:rPr>
                <w:b/>
                <w:bCs/>
              </w:rPr>
              <w:t xml:space="preserve"> </w:t>
            </w:r>
            <w:r w:rsidR="00B435E7" w:rsidRPr="00FC4688">
              <w:rPr>
                <w:b/>
                <w:bCs/>
              </w:rPr>
              <w:t xml:space="preserve">a </w:t>
            </w:r>
            <w:r w:rsidR="00A8309B">
              <w:rPr>
                <w:b/>
                <w:bCs/>
              </w:rPr>
              <w:t>diciembre</w:t>
            </w:r>
            <w:r w:rsidR="00B435E7" w:rsidRPr="00FC4688">
              <w:rPr>
                <w:b/>
                <w:bCs/>
              </w:rPr>
              <w:t xml:space="preserve"> de </w:t>
            </w:r>
            <w:r w:rsidR="009D176B" w:rsidRPr="00FC4688">
              <w:rPr>
                <w:b/>
                <w:bCs/>
              </w:rPr>
              <w:t>202</w:t>
            </w:r>
            <w:r w:rsidR="00BF1308" w:rsidRPr="00FC4688">
              <w:rPr>
                <w:b/>
                <w:bCs/>
              </w:rPr>
              <w:t>2</w:t>
            </w:r>
            <w:r w:rsidR="009D176B" w:rsidRPr="00FC4688">
              <w:rPr>
                <w:b/>
                <w:bCs/>
              </w:rPr>
              <w:t>*</w:t>
            </w:r>
          </w:p>
          <w:p w14:paraId="0071567C" w14:textId="028E652F" w:rsidR="0061446B" w:rsidRPr="00FC4688" w:rsidRDefault="0061446B" w:rsidP="00E34A48">
            <w:pPr>
              <w:jc w:val="center"/>
            </w:pPr>
            <w:r w:rsidRPr="00FC4688">
              <w:rPr>
                <w:sz w:val="20"/>
                <w:szCs w:val="22"/>
              </w:rPr>
              <w:t xml:space="preserve">En </w:t>
            </w:r>
            <w:r w:rsidR="006535F3" w:rsidRPr="00FC4688">
              <w:rPr>
                <w:sz w:val="20"/>
                <w:szCs w:val="22"/>
              </w:rPr>
              <w:t>millones</w:t>
            </w:r>
            <w:r w:rsidRPr="00FC4688">
              <w:rPr>
                <w:sz w:val="20"/>
                <w:szCs w:val="22"/>
              </w:rPr>
              <w:t xml:space="preserve"> de Quetzales</w:t>
            </w:r>
          </w:p>
        </w:tc>
      </w:tr>
      <w:tr w:rsidR="00D36792" w:rsidRPr="00FC4688" w14:paraId="2690E1D3" w14:textId="77777777" w:rsidTr="00B30207">
        <w:trPr>
          <w:trHeight w:val="157"/>
          <w:jc w:val="center"/>
        </w:trPr>
        <w:tc>
          <w:tcPr>
            <w:tcW w:w="5650" w:type="dxa"/>
            <w:shd w:val="clear" w:color="auto" w:fill="auto"/>
          </w:tcPr>
          <w:p w14:paraId="38032EE6" w14:textId="4F7857D1" w:rsidR="00F674B9" w:rsidRPr="00FC4688" w:rsidRDefault="007953AD" w:rsidP="00E34A48">
            <w:r w:rsidRPr="00AC1506">
              <w:rPr>
                <w:noProof/>
                <w:lang w:eastAsia="es-GT"/>
              </w:rPr>
              <w:drawing>
                <wp:anchor distT="0" distB="0" distL="114300" distR="114300" simplePos="0" relativeHeight="251673604" behindDoc="0" locked="0" layoutInCell="1" allowOverlap="1" wp14:anchorId="56CDCC02" wp14:editId="301855D3">
                  <wp:simplePos x="0" y="0"/>
                  <wp:positionH relativeFrom="column">
                    <wp:posOffset>-68580</wp:posOffset>
                  </wp:positionH>
                  <wp:positionV relativeFrom="paragraph">
                    <wp:posOffset>164465</wp:posOffset>
                  </wp:positionV>
                  <wp:extent cx="3600450" cy="219456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tc>
        <w:tc>
          <w:tcPr>
            <w:tcW w:w="3745" w:type="dxa"/>
          </w:tcPr>
          <w:p w14:paraId="6D2B05F8" w14:textId="3F5AD2E5" w:rsidR="00F674B9" w:rsidRPr="00FC4688" w:rsidRDefault="00A8309B" w:rsidP="00814951">
            <w:pPr>
              <w:ind w:right="-183"/>
            </w:pPr>
            <w:r w:rsidRPr="00FC4688">
              <w:rPr>
                <w:noProof/>
                <w:lang w:eastAsia="es-GT"/>
              </w:rPr>
              <w:drawing>
                <wp:inline distT="0" distB="0" distL="0" distR="0" wp14:anchorId="1A595F87" wp14:editId="71B28AB1">
                  <wp:extent cx="2279015" cy="2239736"/>
                  <wp:effectExtent l="0" t="0" r="6985" b="82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F341054" w14:textId="2EA0C79E" w:rsidR="00F4077C" w:rsidRPr="00FC4688"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781" w:name="_Toc42023970"/>
      <w:bookmarkStart w:id="782" w:name="_Toc42024021"/>
      <w:bookmarkStart w:id="783" w:name="_Toc42023971"/>
      <w:bookmarkStart w:id="784" w:name="_Toc42024022"/>
      <w:bookmarkStart w:id="785" w:name="_Toc42023972"/>
      <w:bookmarkStart w:id="786" w:name="_Toc42024023"/>
      <w:bookmarkStart w:id="787" w:name="_Toc42023973"/>
      <w:bookmarkStart w:id="788" w:name="_Toc42024024"/>
      <w:bookmarkStart w:id="789" w:name="_Toc127437694"/>
      <w:bookmarkEnd w:id="781"/>
      <w:bookmarkEnd w:id="782"/>
      <w:bookmarkEnd w:id="783"/>
      <w:bookmarkEnd w:id="784"/>
      <w:bookmarkEnd w:id="785"/>
      <w:bookmarkEnd w:id="786"/>
      <w:bookmarkEnd w:id="787"/>
      <w:bookmarkEnd w:id="788"/>
      <w:r w:rsidRPr="00FC4688">
        <w:rPr>
          <w:rFonts w:eastAsiaTheme="majorEastAsia" w:cs="Times New Roman"/>
          <w:b/>
          <w:bCs/>
          <w:sz w:val="24"/>
          <w:szCs w:val="26"/>
          <w:lang w:val="es-ES_tradnl" w:eastAsia="es-ES"/>
        </w:rPr>
        <w:lastRenderedPageBreak/>
        <w:t>Erogaciones</w:t>
      </w:r>
      <w:r w:rsidR="00B50E45" w:rsidRPr="00FC4688">
        <w:rPr>
          <w:rFonts w:eastAsiaTheme="majorEastAsia" w:cs="Times New Roman"/>
          <w:b/>
          <w:bCs/>
          <w:sz w:val="24"/>
          <w:szCs w:val="26"/>
          <w:lang w:val="es-ES_tradnl" w:eastAsia="es-ES"/>
        </w:rPr>
        <w:t xml:space="preserve"> del Gobierno Central Presupuestario</w:t>
      </w:r>
      <w:bookmarkEnd w:id="789"/>
    </w:p>
    <w:p w14:paraId="2B633498" w14:textId="77777777" w:rsidR="007A76CD" w:rsidRPr="00FC4688" w:rsidRDefault="007A76CD" w:rsidP="00594050">
      <w:pPr>
        <w:rPr>
          <w:rFonts w:cs="Times New Roman"/>
        </w:rPr>
      </w:pPr>
      <w:r w:rsidRPr="00FC4688">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7E5690A"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90" w:name="_Toc42023975"/>
      <w:bookmarkStart w:id="791" w:name="_Toc42024026"/>
      <w:bookmarkStart w:id="792" w:name="_Toc42069116"/>
      <w:bookmarkStart w:id="793" w:name="_Toc49422062"/>
      <w:bookmarkStart w:id="794" w:name="_Toc49422088"/>
      <w:bookmarkStart w:id="795" w:name="_Toc49430667"/>
      <w:bookmarkStart w:id="796" w:name="_Toc49430693"/>
      <w:bookmarkStart w:id="797" w:name="_Toc49750470"/>
      <w:bookmarkStart w:id="798" w:name="_Toc49750720"/>
      <w:bookmarkStart w:id="799" w:name="_Toc49750748"/>
      <w:bookmarkStart w:id="800" w:name="_Toc55284834"/>
      <w:bookmarkStart w:id="801" w:name="_Toc55298852"/>
      <w:bookmarkStart w:id="802" w:name="_Toc55373835"/>
      <w:bookmarkStart w:id="803" w:name="_Toc55374009"/>
      <w:bookmarkStart w:id="804" w:name="_Toc55375146"/>
      <w:bookmarkStart w:id="805" w:name="_Toc55396554"/>
      <w:bookmarkStart w:id="806" w:name="_Toc65230551"/>
      <w:bookmarkStart w:id="807" w:name="_Toc65230789"/>
      <w:bookmarkStart w:id="808" w:name="_Toc65232073"/>
      <w:bookmarkStart w:id="809" w:name="_Toc65232318"/>
      <w:bookmarkStart w:id="810" w:name="_Toc66716177"/>
      <w:bookmarkStart w:id="811" w:name="_Toc71097221"/>
      <w:bookmarkStart w:id="812" w:name="_Toc71097252"/>
      <w:bookmarkStart w:id="813" w:name="_Toc71097327"/>
      <w:bookmarkStart w:id="814" w:name="_Toc71108067"/>
      <w:bookmarkStart w:id="815" w:name="_Toc79055261"/>
      <w:bookmarkStart w:id="816" w:name="_Toc79055292"/>
      <w:bookmarkStart w:id="817" w:name="_Toc79060183"/>
      <w:bookmarkStart w:id="818" w:name="_Toc79060470"/>
      <w:bookmarkStart w:id="819" w:name="_Toc81307827"/>
      <w:bookmarkStart w:id="820" w:name="_Toc83376488"/>
      <w:bookmarkStart w:id="821" w:name="_Toc86386727"/>
      <w:bookmarkStart w:id="822" w:name="_Toc86405413"/>
      <w:bookmarkStart w:id="823" w:name="_Toc98162443"/>
      <w:bookmarkStart w:id="824" w:name="_Toc98162475"/>
      <w:bookmarkStart w:id="825" w:name="_Toc98235001"/>
      <w:bookmarkStart w:id="826" w:name="_Toc98235196"/>
      <w:bookmarkStart w:id="827" w:name="_Toc98235281"/>
      <w:bookmarkStart w:id="828" w:name="_Toc98757151"/>
      <w:bookmarkStart w:id="829" w:name="_Toc101874706"/>
      <w:bookmarkStart w:id="830" w:name="_Toc101954162"/>
      <w:bookmarkStart w:id="831" w:name="_Toc101971979"/>
      <w:bookmarkStart w:id="832" w:name="_Toc101974071"/>
      <w:bookmarkStart w:id="833" w:name="_Toc102039756"/>
      <w:bookmarkStart w:id="834" w:name="_Toc102039794"/>
      <w:bookmarkStart w:id="835" w:name="_Toc102039834"/>
      <w:bookmarkStart w:id="836" w:name="_Toc102039865"/>
      <w:bookmarkStart w:id="837" w:name="_Toc102040923"/>
      <w:bookmarkStart w:id="838" w:name="_Toc102477771"/>
      <w:bookmarkStart w:id="839" w:name="_Toc102477802"/>
      <w:bookmarkStart w:id="840" w:name="_Toc109824832"/>
      <w:bookmarkStart w:id="841" w:name="_Toc109828788"/>
      <w:bookmarkStart w:id="842" w:name="_Toc109828851"/>
      <w:bookmarkStart w:id="843" w:name="_Toc109829027"/>
      <w:bookmarkStart w:id="844" w:name="_Toc109829058"/>
      <w:bookmarkStart w:id="845" w:name="_Toc109833902"/>
      <w:bookmarkStart w:id="846" w:name="_Toc110237445"/>
      <w:bookmarkStart w:id="847" w:name="_Toc117775322"/>
      <w:bookmarkStart w:id="848" w:name="_Toc117781291"/>
      <w:bookmarkStart w:id="849" w:name="_Toc125620819"/>
      <w:bookmarkStart w:id="850" w:name="_Toc125620850"/>
      <w:bookmarkStart w:id="851" w:name="_Toc125620881"/>
      <w:bookmarkStart w:id="852" w:name="_Toc125620917"/>
      <w:bookmarkStart w:id="853" w:name="_Toc125620948"/>
      <w:bookmarkStart w:id="854" w:name="_Toc125620982"/>
      <w:bookmarkStart w:id="855" w:name="_Toc125621035"/>
      <w:bookmarkStart w:id="856" w:name="_Toc125621089"/>
      <w:bookmarkStart w:id="857" w:name="_Toc125623567"/>
      <w:bookmarkStart w:id="858" w:name="_Toc125623599"/>
      <w:bookmarkStart w:id="859" w:name="_Toc125623631"/>
      <w:bookmarkStart w:id="860" w:name="_Toc125970377"/>
      <w:bookmarkStart w:id="861" w:name="_Toc125970409"/>
      <w:bookmarkStart w:id="862" w:name="_Toc127365860"/>
      <w:bookmarkStart w:id="863" w:name="_Toc127434611"/>
      <w:bookmarkStart w:id="864" w:name="_Toc127436979"/>
      <w:bookmarkStart w:id="865" w:name="_Toc127437340"/>
      <w:bookmarkStart w:id="866" w:name="_Toc127437695"/>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56FB527D"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867" w:name="_Toc55374010"/>
      <w:bookmarkStart w:id="868" w:name="_Toc55375147"/>
      <w:bookmarkStart w:id="869" w:name="_Toc55396555"/>
      <w:bookmarkStart w:id="870" w:name="_Toc65230552"/>
      <w:bookmarkStart w:id="871" w:name="_Toc65230790"/>
      <w:bookmarkStart w:id="872" w:name="_Toc65232074"/>
      <w:bookmarkStart w:id="873" w:name="_Toc65232319"/>
      <w:bookmarkStart w:id="874" w:name="_Toc66716178"/>
      <w:bookmarkStart w:id="875" w:name="_Toc71097222"/>
      <w:bookmarkStart w:id="876" w:name="_Toc71097253"/>
      <w:bookmarkStart w:id="877" w:name="_Toc71097328"/>
      <w:bookmarkStart w:id="878" w:name="_Toc71108068"/>
      <w:bookmarkStart w:id="879" w:name="_Toc79055262"/>
      <w:bookmarkStart w:id="880" w:name="_Toc79055293"/>
      <w:bookmarkStart w:id="881" w:name="_Toc79060184"/>
      <w:bookmarkStart w:id="882" w:name="_Toc79060471"/>
      <w:bookmarkStart w:id="883" w:name="_Toc81307828"/>
      <w:bookmarkStart w:id="884" w:name="_Toc83376489"/>
      <w:bookmarkStart w:id="885" w:name="_Toc86386728"/>
      <w:bookmarkStart w:id="886" w:name="_Toc86405414"/>
      <w:bookmarkStart w:id="887" w:name="_Toc98162444"/>
      <w:bookmarkStart w:id="888" w:name="_Toc98162476"/>
      <w:bookmarkStart w:id="889" w:name="_Toc98235002"/>
      <w:bookmarkStart w:id="890" w:name="_Toc98235197"/>
      <w:bookmarkStart w:id="891" w:name="_Toc98235282"/>
      <w:bookmarkStart w:id="892" w:name="_Toc98757152"/>
      <w:bookmarkStart w:id="893" w:name="_Toc101874707"/>
      <w:bookmarkStart w:id="894" w:name="_Toc101954163"/>
      <w:bookmarkStart w:id="895" w:name="_Toc101971980"/>
      <w:bookmarkStart w:id="896" w:name="_Toc101974072"/>
      <w:bookmarkStart w:id="897" w:name="_Toc102039757"/>
      <w:bookmarkStart w:id="898" w:name="_Toc102039795"/>
      <w:bookmarkStart w:id="899" w:name="_Toc102039835"/>
      <w:bookmarkStart w:id="900" w:name="_Toc102039866"/>
      <w:bookmarkStart w:id="901" w:name="_Toc102040924"/>
      <w:bookmarkStart w:id="902" w:name="_Toc102477772"/>
      <w:bookmarkStart w:id="903" w:name="_Toc102477803"/>
      <w:bookmarkStart w:id="904" w:name="_Toc109824833"/>
      <w:bookmarkStart w:id="905" w:name="_Toc109828789"/>
      <w:bookmarkStart w:id="906" w:name="_Toc109828852"/>
      <w:bookmarkStart w:id="907" w:name="_Toc109829028"/>
      <w:bookmarkStart w:id="908" w:name="_Toc109829059"/>
      <w:bookmarkStart w:id="909" w:name="_Toc109833903"/>
      <w:bookmarkStart w:id="910" w:name="_Toc110237446"/>
      <w:bookmarkStart w:id="911" w:name="_Toc117775323"/>
      <w:bookmarkStart w:id="912" w:name="_Toc117781292"/>
      <w:bookmarkStart w:id="913" w:name="_Toc125620820"/>
      <w:bookmarkStart w:id="914" w:name="_Toc125620851"/>
      <w:bookmarkStart w:id="915" w:name="_Toc125620882"/>
      <w:bookmarkStart w:id="916" w:name="_Toc125620918"/>
      <w:bookmarkStart w:id="917" w:name="_Toc125620949"/>
      <w:bookmarkStart w:id="918" w:name="_Toc125620983"/>
      <w:bookmarkStart w:id="919" w:name="_Toc125621036"/>
      <w:bookmarkStart w:id="920" w:name="_Toc125621090"/>
      <w:bookmarkStart w:id="921" w:name="_Toc125623568"/>
      <w:bookmarkStart w:id="922" w:name="_Toc125623600"/>
      <w:bookmarkStart w:id="923" w:name="_Toc125623632"/>
      <w:bookmarkStart w:id="924" w:name="_Toc125970378"/>
      <w:bookmarkStart w:id="925" w:name="_Toc125970410"/>
      <w:bookmarkStart w:id="926" w:name="_Toc127365861"/>
      <w:bookmarkStart w:id="927" w:name="_Toc127434612"/>
      <w:bookmarkStart w:id="928" w:name="_Toc127436980"/>
      <w:bookmarkStart w:id="929" w:name="_Toc127437341"/>
      <w:bookmarkStart w:id="930" w:name="_Toc12743769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0298658C"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931" w:name="_Toc55374011"/>
      <w:bookmarkStart w:id="932" w:name="_Toc55375148"/>
      <w:bookmarkStart w:id="933" w:name="_Toc55396556"/>
      <w:bookmarkStart w:id="934" w:name="_Toc65230553"/>
      <w:bookmarkStart w:id="935" w:name="_Toc65230791"/>
      <w:bookmarkStart w:id="936" w:name="_Toc65232075"/>
      <w:bookmarkStart w:id="937" w:name="_Toc65232320"/>
      <w:bookmarkStart w:id="938" w:name="_Toc66716179"/>
      <w:bookmarkStart w:id="939" w:name="_Toc71097223"/>
      <w:bookmarkStart w:id="940" w:name="_Toc71097254"/>
      <w:bookmarkStart w:id="941" w:name="_Toc71097329"/>
      <w:bookmarkStart w:id="942" w:name="_Toc71108069"/>
      <w:bookmarkStart w:id="943" w:name="_Toc79055263"/>
      <w:bookmarkStart w:id="944" w:name="_Toc79055294"/>
      <w:bookmarkStart w:id="945" w:name="_Toc79060185"/>
      <w:bookmarkStart w:id="946" w:name="_Toc79060472"/>
      <w:bookmarkStart w:id="947" w:name="_Toc81307829"/>
      <w:bookmarkStart w:id="948" w:name="_Toc83376490"/>
      <w:bookmarkStart w:id="949" w:name="_Toc86386729"/>
      <w:bookmarkStart w:id="950" w:name="_Toc86405415"/>
      <w:bookmarkStart w:id="951" w:name="_Toc98162445"/>
      <w:bookmarkStart w:id="952" w:name="_Toc98162477"/>
      <w:bookmarkStart w:id="953" w:name="_Toc98235003"/>
      <w:bookmarkStart w:id="954" w:name="_Toc98235198"/>
      <w:bookmarkStart w:id="955" w:name="_Toc98235283"/>
      <w:bookmarkStart w:id="956" w:name="_Toc98757153"/>
      <w:bookmarkStart w:id="957" w:name="_Toc101874708"/>
      <w:bookmarkStart w:id="958" w:name="_Toc101954164"/>
      <w:bookmarkStart w:id="959" w:name="_Toc101971981"/>
      <w:bookmarkStart w:id="960" w:name="_Toc101974073"/>
      <w:bookmarkStart w:id="961" w:name="_Toc102039758"/>
      <w:bookmarkStart w:id="962" w:name="_Toc102039796"/>
      <w:bookmarkStart w:id="963" w:name="_Toc102039836"/>
      <w:bookmarkStart w:id="964" w:name="_Toc102039867"/>
      <w:bookmarkStart w:id="965" w:name="_Toc102040925"/>
      <w:bookmarkStart w:id="966" w:name="_Toc102477773"/>
      <w:bookmarkStart w:id="967" w:name="_Toc102477804"/>
      <w:bookmarkStart w:id="968" w:name="_Toc109824834"/>
      <w:bookmarkStart w:id="969" w:name="_Toc109828790"/>
      <w:bookmarkStart w:id="970" w:name="_Toc109828853"/>
      <w:bookmarkStart w:id="971" w:name="_Toc109829029"/>
      <w:bookmarkStart w:id="972" w:name="_Toc109829060"/>
      <w:bookmarkStart w:id="973" w:name="_Toc109833904"/>
      <w:bookmarkStart w:id="974" w:name="_Toc110237447"/>
      <w:bookmarkStart w:id="975" w:name="_Toc117775324"/>
      <w:bookmarkStart w:id="976" w:name="_Toc117781293"/>
      <w:bookmarkStart w:id="977" w:name="_Toc125620821"/>
      <w:bookmarkStart w:id="978" w:name="_Toc125620852"/>
      <w:bookmarkStart w:id="979" w:name="_Toc125620883"/>
      <w:bookmarkStart w:id="980" w:name="_Toc125620919"/>
      <w:bookmarkStart w:id="981" w:name="_Toc125620950"/>
      <w:bookmarkStart w:id="982" w:name="_Toc125620984"/>
      <w:bookmarkStart w:id="983" w:name="_Toc125621037"/>
      <w:bookmarkStart w:id="984" w:name="_Toc125621091"/>
      <w:bookmarkStart w:id="985" w:name="_Toc125623569"/>
      <w:bookmarkStart w:id="986" w:name="_Toc125623601"/>
      <w:bookmarkStart w:id="987" w:name="_Toc125623633"/>
      <w:bookmarkStart w:id="988" w:name="_Toc125970379"/>
      <w:bookmarkStart w:id="989" w:name="_Toc125970411"/>
      <w:bookmarkStart w:id="990" w:name="_Toc127365862"/>
      <w:bookmarkStart w:id="991" w:name="_Toc127434613"/>
      <w:bookmarkStart w:id="992" w:name="_Toc127436981"/>
      <w:bookmarkStart w:id="993" w:name="_Toc127437342"/>
      <w:bookmarkStart w:id="994" w:name="_Toc127437697"/>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B7C610F"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995" w:name="_Toc55374012"/>
      <w:bookmarkStart w:id="996" w:name="_Toc55375149"/>
      <w:bookmarkStart w:id="997" w:name="_Toc55396557"/>
      <w:bookmarkStart w:id="998" w:name="_Toc65230554"/>
      <w:bookmarkStart w:id="999" w:name="_Toc65230792"/>
      <w:bookmarkStart w:id="1000" w:name="_Toc65232076"/>
      <w:bookmarkStart w:id="1001" w:name="_Toc65232321"/>
      <w:bookmarkStart w:id="1002" w:name="_Toc66716180"/>
      <w:bookmarkStart w:id="1003" w:name="_Toc71097224"/>
      <w:bookmarkStart w:id="1004" w:name="_Toc71097255"/>
      <w:bookmarkStart w:id="1005" w:name="_Toc71097330"/>
      <w:bookmarkStart w:id="1006" w:name="_Toc71108070"/>
      <w:bookmarkStart w:id="1007" w:name="_Toc79055264"/>
      <w:bookmarkStart w:id="1008" w:name="_Toc79055295"/>
      <w:bookmarkStart w:id="1009" w:name="_Toc79060186"/>
      <w:bookmarkStart w:id="1010" w:name="_Toc79060473"/>
      <w:bookmarkStart w:id="1011" w:name="_Toc81307830"/>
      <w:bookmarkStart w:id="1012" w:name="_Toc83376491"/>
      <w:bookmarkStart w:id="1013" w:name="_Toc86386730"/>
      <w:bookmarkStart w:id="1014" w:name="_Toc86405416"/>
      <w:bookmarkStart w:id="1015" w:name="_Toc98162446"/>
      <w:bookmarkStart w:id="1016" w:name="_Toc98162478"/>
      <w:bookmarkStart w:id="1017" w:name="_Toc98235004"/>
      <w:bookmarkStart w:id="1018" w:name="_Toc98235199"/>
      <w:bookmarkStart w:id="1019" w:name="_Toc98235284"/>
      <w:bookmarkStart w:id="1020" w:name="_Toc98757154"/>
      <w:bookmarkStart w:id="1021" w:name="_Toc101874709"/>
      <w:bookmarkStart w:id="1022" w:name="_Toc101954165"/>
      <w:bookmarkStart w:id="1023" w:name="_Toc101971982"/>
      <w:bookmarkStart w:id="1024" w:name="_Toc101974074"/>
      <w:bookmarkStart w:id="1025" w:name="_Toc102039759"/>
      <w:bookmarkStart w:id="1026" w:name="_Toc102039797"/>
      <w:bookmarkStart w:id="1027" w:name="_Toc102039837"/>
      <w:bookmarkStart w:id="1028" w:name="_Toc102039868"/>
      <w:bookmarkStart w:id="1029" w:name="_Toc102040926"/>
      <w:bookmarkStart w:id="1030" w:name="_Toc102477774"/>
      <w:bookmarkStart w:id="1031" w:name="_Toc102477805"/>
      <w:bookmarkStart w:id="1032" w:name="_Toc109824835"/>
      <w:bookmarkStart w:id="1033" w:name="_Toc109828791"/>
      <w:bookmarkStart w:id="1034" w:name="_Toc109828854"/>
      <w:bookmarkStart w:id="1035" w:name="_Toc109829030"/>
      <w:bookmarkStart w:id="1036" w:name="_Toc109829061"/>
      <w:bookmarkStart w:id="1037" w:name="_Toc109833905"/>
      <w:bookmarkStart w:id="1038" w:name="_Toc110237448"/>
      <w:bookmarkStart w:id="1039" w:name="_Toc117775325"/>
      <w:bookmarkStart w:id="1040" w:name="_Toc117781294"/>
      <w:bookmarkStart w:id="1041" w:name="_Toc125620822"/>
      <w:bookmarkStart w:id="1042" w:name="_Toc125620853"/>
      <w:bookmarkStart w:id="1043" w:name="_Toc125620884"/>
      <w:bookmarkStart w:id="1044" w:name="_Toc125620920"/>
      <w:bookmarkStart w:id="1045" w:name="_Toc125620951"/>
      <w:bookmarkStart w:id="1046" w:name="_Toc125620985"/>
      <w:bookmarkStart w:id="1047" w:name="_Toc125621038"/>
      <w:bookmarkStart w:id="1048" w:name="_Toc125621092"/>
      <w:bookmarkStart w:id="1049" w:name="_Toc125623570"/>
      <w:bookmarkStart w:id="1050" w:name="_Toc125623602"/>
      <w:bookmarkStart w:id="1051" w:name="_Toc125623634"/>
      <w:bookmarkStart w:id="1052" w:name="_Toc125970380"/>
      <w:bookmarkStart w:id="1053" w:name="_Toc125970412"/>
      <w:bookmarkStart w:id="1054" w:name="_Toc127365863"/>
      <w:bookmarkStart w:id="1055" w:name="_Toc127434614"/>
      <w:bookmarkStart w:id="1056" w:name="_Toc127436982"/>
      <w:bookmarkStart w:id="1057" w:name="_Toc127437343"/>
      <w:bookmarkStart w:id="1058" w:name="_Toc127437698"/>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5DA454F1"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059" w:name="_Toc55374013"/>
      <w:bookmarkStart w:id="1060" w:name="_Toc55375150"/>
      <w:bookmarkStart w:id="1061" w:name="_Toc55396558"/>
      <w:bookmarkStart w:id="1062" w:name="_Toc65230555"/>
      <w:bookmarkStart w:id="1063" w:name="_Toc65230793"/>
      <w:bookmarkStart w:id="1064" w:name="_Toc65232077"/>
      <w:bookmarkStart w:id="1065" w:name="_Toc65232322"/>
      <w:bookmarkStart w:id="1066" w:name="_Toc66716181"/>
      <w:bookmarkStart w:id="1067" w:name="_Toc71097225"/>
      <w:bookmarkStart w:id="1068" w:name="_Toc71097256"/>
      <w:bookmarkStart w:id="1069" w:name="_Toc71097331"/>
      <w:bookmarkStart w:id="1070" w:name="_Toc71108071"/>
      <w:bookmarkStart w:id="1071" w:name="_Toc79055265"/>
      <w:bookmarkStart w:id="1072" w:name="_Toc79055296"/>
      <w:bookmarkStart w:id="1073" w:name="_Toc79060187"/>
      <w:bookmarkStart w:id="1074" w:name="_Toc79060474"/>
      <w:bookmarkStart w:id="1075" w:name="_Toc81307831"/>
      <w:bookmarkStart w:id="1076" w:name="_Toc83376492"/>
      <w:bookmarkStart w:id="1077" w:name="_Toc86386731"/>
      <w:bookmarkStart w:id="1078" w:name="_Toc86405417"/>
      <w:bookmarkStart w:id="1079" w:name="_Toc98162447"/>
      <w:bookmarkStart w:id="1080" w:name="_Toc98162479"/>
      <w:bookmarkStart w:id="1081" w:name="_Toc98235005"/>
      <w:bookmarkStart w:id="1082" w:name="_Toc98235200"/>
      <w:bookmarkStart w:id="1083" w:name="_Toc98235285"/>
      <w:bookmarkStart w:id="1084" w:name="_Toc98757155"/>
      <w:bookmarkStart w:id="1085" w:name="_Toc101874710"/>
      <w:bookmarkStart w:id="1086" w:name="_Toc101954166"/>
      <w:bookmarkStart w:id="1087" w:name="_Toc101971983"/>
      <w:bookmarkStart w:id="1088" w:name="_Toc101974075"/>
      <w:bookmarkStart w:id="1089" w:name="_Toc102039760"/>
      <w:bookmarkStart w:id="1090" w:name="_Toc102039798"/>
      <w:bookmarkStart w:id="1091" w:name="_Toc102039838"/>
      <w:bookmarkStart w:id="1092" w:name="_Toc102039869"/>
      <w:bookmarkStart w:id="1093" w:name="_Toc102040927"/>
      <w:bookmarkStart w:id="1094" w:name="_Toc102477775"/>
      <w:bookmarkStart w:id="1095" w:name="_Toc102477806"/>
      <w:bookmarkStart w:id="1096" w:name="_Toc109824836"/>
      <w:bookmarkStart w:id="1097" w:name="_Toc109828792"/>
      <w:bookmarkStart w:id="1098" w:name="_Toc109828855"/>
      <w:bookmarkStart w:id="1099" w:name="_Toc109829031"/>
      <w:bookmarkStart w:id="1100" w:name="_Toc109829062"/>
      <w:bookmarkStart w:id="1101" w:name="_Toc109833906"/>
      <w:bookmarkStart w:id="1102" w:name="_Toc110237449"/>
      <w:bookmarkStart w:id="1103" w:name="_Toc117775326"/>
      <w:bookmarkStart w:id="1104" w:name="_Toc117781295"/>
      <w:bookmarkStart w:id="1105" w:name="_Toc125620823"/>
      <w:bookmarkStart w:id="1106" w:name="_Toc125620854"/>
      <w:bookmarkStart w:id="1107" w:name="_Toc125620885"/>
      <w:bookmarkStart w:id="1108" w:name="_Toc125620921"/>
      <w:bookmarkStart w:id="1109" w:name="_Toc125620952"/>
      <w:bookmarkStart w:id="1110" w:name="_Toc125620986"/>
      <w:bookmarkStart w:id="1111" w:name="_Toc125621039"/>
      <w:bookmarkStart w:id="1112" w:name="_Toc125621093"/>
      <w:bookmarkStart w:id="1113" w:name="_Toc125623571"/>
      <w:bookmarkStart w:id="1114" w:name="_Toc125623603"/>
      <w:bookmarkStart w:id="1115" w:name="_Toc125623635"/>
      <w:bookmarkStart w:id="1116" w:name="_Toc125970381"/>
      <w:bookmarkStart w:id="1117" w:name="_Toc125970413"/>
      <w:bookmarkStart w:id="1118" w:name="_Toc127365864"/>
      <w:bookmarkStart w:id="1119" w:name="_Toc127434615"/>
      <w:bookmarkStart w:id="1120" w:name="_Toc127436983"/>
      <w:bookmarkStart w:id="1121" w:name="_Toc127437344"/>
      <w:bookmarkStart w:id="1122" w:name="_Toc127437699"/>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045B7FE4" w14:textId="77777777" w:rsidR="00C56688" w:rsidRPr="00FC4688"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1123" w:name="_Toc55374014"/>
      <w:bookmarkStart w:id="1124" w:name="_Toc55375151"/>
      <w:bookmarkStart w:id="1125" w:name="_Toc55396559"/>
      <w:bookmarkStart w:id="1126" w:name="_Toc65230556"/>
      <w:bookmarkStart w:id="1127" w:name="_Toc65230794"/>
      <w:bookmarkStart w:id="1128" w:name="_Toc65232078"/>
      <w:bookmarkStart w:id="1129" w:name="_Toc65232323"/>
      <w:bookmarkStart w:id="1130" w:name="_Toc66716182"/>
      <w:bookmarkStart w:id="1131" w:name="_Toc71097226"/>
      <w:bookmarkStart w:id="1132" w:name="_Toc71097257"/>
      <w:bookmarkStart w:id="1133" w:name="_Toc71097332"/>
      <w:bookmarkStart w:id="1134" w:name="_Toc71108072"/>
      <w:bookmarkStart w:id="1135" w:name="_Toc79055266"/>
      <w:bookmarkStart w:id="1136" w:name="_Toc79055297"/>
      <w:bookmarkStart w:id="1137" w:name="_Toc79060188"/>
      <w:bookmarkStart w:id="1138" w:name="_Toc79060475"/>
      <w:bookmarkStart w:id="1139" w:name="_Toc81307832"/>
      <w:bookmarkStart w:id="1140" w:name="_Toc83376493"/>
      <w:bookmarkStart w:id="1141" w:name="_Toc86386732"/>
      <w:bookmarkStart w:id="1142" w:name="_Toc86405418"/>
      <w:bookmarkStart w:id="1143" w:name="_Toc98162448"/>
      <w:bookmarkStart w:id="1144" w:name="_Toc98162480"/>
      <w:bookmarkStart w:id="1145" w:name="_Toc98235006"/>
      <w:bookmarkStart w:id="1146" w:name="_Toc98235201"/>
      <w:bookmarkStart w:id="1147" w:name="_Toc98235286"/>
      <w:bookmarkStart w:id="1148" w:name="_Toc98757156"/>
      <w:bookmarkStart w:id="1149" w:name="_Toc101874711"/>
      <w:bookmarkStart w:id="1150" w:name="_Toc101954167"/>
      <w:bookmarkStart w:id="1151" w:name="_Toc101971984"/>
      <w:bookmarkStart w:id="1152" w:name="_Toc101974076"/>
      <w:bookmarkStart w:id="1153" w:name="_Toc102039761"/>
      <w:bookmarkStart w:id="1154" w:name="_Toc102039799"/>
      <w:bookmarkStart w:id="1155" w:name="_Toc102039839"/>
      <w:bookmarkStart w:id="1156" w:name="_Toc102039870"/>
      <w:bookmarkStart w:id="1157" w:name="_Toc102040928"/>
      <w:bookmarkStart w:id="1158" w:name="_Toc102477776"/>
      <w:bookmarkStart w:id="1159" w:name="_Toc102477807"/>
      <w:bookmarkStart w:id="1160" w:name="_Toc109824837"/>
      <w:bookmarkStart w:id="1161" w:name="_Toc109828793"/>
      <w:bookmarkStart w:id="1162" w:name="_Toc109828856"/>
      <w:bookmarkStart w:id="1163" w:name="_Toc109829032"/>
      <w:bookmarkStart w:id="1164" w:name="_Toc109829063"/>
      <w:bookmarkStart w:id="1165" w:name="_Toc109833907"/>
      <w:bookmarkStart w:id="1166" w:name="_Toc110237450"/>
      <w:bookmarkStart w:id="1167" w:name="_Toc117775327"/>
      <w:bookmarkStart w:id="1168" w:name="_Toc117781296"/>
      <w:bookmarkStart w:id="1169" w:name="_Toc125620824"/>
      <w:bookmarkStart w:id="1170" w:name="_Toc125620855"/>
      <w:bookmarkStart w:id="1171" w:name="_Toc125620886"/>
      <w:bookmarkStart w:id="1172" w:name="_Toc125620922"/>
      <w:bookmarkStart w:id="1173" w:name="_Toc125620953"/>
      <w:bookmarkStart w:id="1174" w:name="_Toc125620987"/>
      <w:bookmarkStart w:id="1175" w:name="_Toc125621040"/>
      <w:bookmarkStart w:id="1176" w:name="_Toc125621094"/>
      <w:bookmarkStart w:id="1177" w:name="_Toc125623572"/>
      <w:bookmarkStart w:id="1178" w:name="_Toc125623604"/>
      <w:bookmarkStart w:id="1179" w:name="_Toc125623636"/>
      <w:bookmarkStart w:id="1180" w:name="_Toc125970382"/>
      <w:bookmarkStart w:id="1181" w:name="_Toc125970414"/>
      <w:bookmarkStart w:id="1182" w:name="_Toc127365865"/>
      <w:bookmarkStart w:id="1183" w:name="_Toc127434616"/>
      <w:bookmarkStart w:id="1184" w:name="_Toc127436984"/>
      <w:bookmarkStart w:id="1185" w:name="_Toc127437345"/>
      <w:bookmarkStart w:id="1186" w:name="_Toc127437700"/>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545F53E" w14:textId="4B087890" w:rsidR="00490038" w:rsidRPr="00FC4688" w:rsidRDefault="00C23BDB" w:rsidP="00C56688">
      <w:pPr>
        <w:pStyle w:val="Ttulo2"/>
        <w:numPr>
          <w:ilvl w:val="1"/>
          <w:numId w:val="12"/>
        </w:numPr>
        <w:tabs>
          <w:tab w:val="left" w:pos="426"/>
        </w:tabs>
        <w:spacing w:before="0"/>
        <w:rPr>
          <w:rFonts w:ascii="Times New Roman" w:hAnsi="Times New Roman" w:cs="Times New Roman"/>
          <w:color w:val="auto"/>
          <w:sz w:val="24"/>
        </w:rPr>
      </w:pPr>
      <w:bookmarkStart w:id="1187" w:name="_Toc127437701"/>
      <w:r>
        <w:rPr>
          <w:rFonts w:ascii="Times New Roman" w:hAnsi="Times New Roman" w:cs="Times New Roman"/>
          <w:color w:val="auto"/>
          <w:sz w:val="24"/>
        </w:rPr>
        <w:t>Las erogaciones por asuntos económicos y educación muestran repu</w:t>
      </w:r>
      <w:r w:rsidR="00CB5A9E">
        <w:rPr>
          <w:rFonts w:ascii="Times New Roman" w:hAnsi="Times New Roman" w:cs="Times New Roman"/>
          <w:color w:val="auto"/>
          <w:sz w:val="24"/>
        </w:rPr>
        <w:t>nte en su ejecución</w:t>
      </w:r>
      <w:bookmarkEnd w:id="1187"/>
    </w:p>
    <w:p w14:paraId="4AFE3484" w14:textId="7BA1E1DD" w:rsidR="006F3389" w:rsidRPr="004A14FB" w:rsidRDefault="006F3389" w:rsidP="006F3389">
      <w:pPr>
        <w:rPr>
          <w:rFonts w:cs="Times New Roman"/>
          <w:szCs w:val="22"/>
        </w:rPr>
      </w:pPr>
      <w:r w:rsidRPr="004A14FB">
        <w:rPr>
          <w:rFonts w:cs="Times New Roman"/>
          <w:szCs w:val="22"/>
        </w:rPr>
        <w:t>Al finalizar el cuarto trimestre del año las erogaciones del Gobierno Central Presupuestario ascendieron a Q107,921.5 millones, que presenta crecimiento de 17.3% (Q15,877.8 millones)</w:t>
      </w:r>
      <w:r w:rsidR="00E14D82" w:rsidRPr="004A14FB">
        <w:rPr>
          <w:rFonts w:cs="Times New Roman"/>
          <w:szCs w:val="22"/>
        </w:rPr>
        <w:t xml:space="preserve"> y en términos del PIB se sitúa en torno al 14.7%</w:t>
      </w:r>
      <w:r w:rsidRPr="004A14FB">
        <w:rPr>
          <w:rFonts w:cs="Times New Roman"/>
          <w:szCs w:val="22"/>
        </w:rPr>
        <w:t xml:space="preserve">. Al respecto, se observa que el mayor aumento se registró en las erogaciones por concepto de asuntos económicos, que a diciembre asciende a Q13,262.8 millones, lo cual representa </w:t>
      </w:r>
      <w:r w:rsidR="00227028" w:rsidRPr="004A14FB">
        <w:rPr>
          <w:rFonts w:cs="Times New Roman"/>
          <w:szCs w:val="22"/>
        </w:rPr>
        <w:t xml:space="preserve">una </w:t>
      </w:r>
      <w:r w:rsidRPr="004A14FB">
        <w:rPr>
          <w:rFonts w:cs="Times New Roman"/>
          <w:szCs w:val="22"/>
        </w:rPr>
        <w:t>variación interanual de 57.5% (Q4,843.2 millones), comportamiento que se explica mayormente por la entrega del subsidio al gas propano y</w:t>
      </w:r>
      <w:r w:rsidR="00F225F6" w:rsidRPr="004A14FB">
        <w:rPr>
          <w:rFonts w:cs="Times New Roman"/>
          <w:szCs w:val="22"/>
        </w:rPr>
        <w:t xml:space="preserve"> los </w:t>
      </w:r>
      <w:r w:rsidRPr="004A14FB">
        <w:rPr>
          <w:rFonts w:cs="Times New Roman"/>
          <w:szCs w:val="22"/>
        </w:rPr>
        <w:t>combustibles.</w:t>
      </w:r>
    </w:p>
    <w:p w14:paraId="15319AB3" w14:textId="77777777" w:rsidR="006F3389" w:rsidRPr="004A14FB" w:rsidRDefault="006F3389" w:rsidP="006F3389">
      <w:pPr>
        <w:rPr>
          <w:rFonts w:cs="Times New Roman"/>
          <w:szCs w:val="22"/>
        </w:rPr>
      </w:pPr>
    </w:p>
    <w:p w14:paraId="2568D0F0" w14:textId="1F0606D4" w:rsidR="006F3389" w:rsidRPr="004A14FB" w:rsidRDefault="0022594D" w:rsidP="006F3389">
      <w:pPr>
        <w:rPr>
          <w:rFonts w:cs="Times New Roman"/>
          <w:szCs w:val="22"/>
        </w:rPr>
      </w:pPr>
      <w:r w:rsidRPr="004A14FB">
        <w:rPr>
          <w:rFonts w:cs="Times New Roman"/>
          <w:szCs w:val="22"/>
        </w:rPr>
        <w:t>E</w:t>
      </w:r>
      <w:r w:rsidR="006F3389" w:rsidRPr="004A14FB">
        <w:rPr>
          <w:rFonts w:cs="Times New Roman"/>
          <w:szCs w:val="22"/>
        </w:rPr>
        <w:t xml:space="preserve">l segundo crecimiento más alto se dio en las erogaciones destinadas a educación, que ascendieron a Q23,609.1 millones, </w:t>
      </w:r>
      <w:r w:rsidR="00D65D4B" w:rsidRPr="004A14FB">
        <w:rPr>
          <w:rFonts w:cs="Times New Roman"/>
          <w:szCs w:val="22"/>
        </w:rPr>
        <w:t>observando un</w:t>
      </w:r>
      <w:r w:rsidR="006F3389" w:rsidRPr="004A14FB">
        <w:rPr>
          <w:rFonts w:cs="Times New Roman"/>
          <w:szCs w:val="22"/>
        </w:rPr>
        <w:t xml:space="preserve"> crecimiento interanual de 13.8% (Q2,866.9 millones)</w:t>
      </w:r>
      <w:r w:rsidR="009807E9" w:rsidRPr="004A14FB">
        <w:rPr>
          <w:rFonts w:cs="Times New Roman"/>
          <w:szCs w:val="22"/>
        </w:rPr>
        <w:t xml:space="preserve"> y a</w:t>
      </w:r>
      <w:r w:rsidR="006F3389" w:rsidRPr="004A14FB">
        <w:rPr>
          <w:rFonts w:cs="Times New Roman"/>
          <w:szCs w:val="22"/>
        </w:rPr>
        <w:t xml:space="preserve"> nivel de subcategorías</w:t>
      </w:r>
      <w:r w:rsidR="009807E9" w:rsidRPr="004A14FB">
        <w:rPr>
          <w:rFonts w:cs="Times New Roman"/>
          <w:szCs w:val="22"/>
        </w:rPr>
        <w:t>,</w:t>
      </w:r>
      <w:r w:rsidR="006F3389" w:rsidRPr="004A14FB">
        <w:rPr>
          <w:rFonts w:cs="Times New Roman"/>
          <w:szCs w:val="22"/>
        </w:rPr>
        <w:t xml:space="preserve"> las que presentaron mayor incremento fueron los servicios auxiliares de la educación, la cual mostró un </w:t>
      </w:r>
      <w:r w:rsidR="00456C7B" w:rsidRPr="004A14FB">
        <w:rPr>
          <w:rFonts w:cs="Times New Roman"/>
          <w:szCs w:val="22"/>
        </w:rPr>
        <w:t xml:space="preserve">aumento </w:t>
      </w:r>
      <w:r w:rsidR="006F3389" w:rsidRPr="004A14FB">
        <w:rPr>
          <w:rFonts w:cs="Times New Roman"/>
          <w:szCs w:val="22"/>
        </w:rPr>
        <w:t xml:space="preserve">interanual del 43.6% (Q1,555.3 millones); seguida de la enseñanza preescolar y primaria, con </w:t>
      </w:r>
      <w:r w:rsidR="00F225F6" w:rsidRPr="004A14FB">
        <w:rPr>
          <w:rFonts w:cs="Times New Roman"/>
          <w:szCs w:val="22"/>
        </w:rPr>
        <w:t xml:space="preserve">un </w:t>
      </w:r>
      <w:r w:rsidR="006F3389" w:rsidRPr="004A14FB">
        <w:rPr>
          <w:rFonts w:cs="Times New Roman"/>
          <w:szCs w:val="22"/>
        </w:rPr>
        <w:t>incremento de 7.6% (Q909.5 millones); y, las erogaciones por educación no clasificada</w:t>
      </w:r>
      <w:r w:rsidR="00F225F6" w:rsidRPr="004A14FB">
        <w:rPr>
          <w:rFonts w:cs="Times New Roman"/>
          <w:szCs w:val="22"/>
        </w:rPr>
        <w:t>s</w:t>
      </w:r>
      <w:r w:rsidR="006F3389" w:rsidRPr="004A14FB">
        <w:rPr>
          <w:rFonts w:cs="Times New Roman"/>
          <w:szCs w:val="22"/>
        </w:rPr>
        <w:t xml:space="preserve"> en otra parte, con variación interanual de 28.1% (Q279.7 millones).</w:t>
      </w:r>
    </w:p>
    <w:p w14:paraId="29131917" w14:textId="77777777" w:rsidR="006F3389" w:rsidRDefault="006F3389" w:rsidP="006F3389">
      <w:pPr>
        <w:rPr>
          <w:rFonts w:cs="Times New Roman"/>
        </w:rPr>
      </w:pPr>
    </w:p>
    <w:p w14:paraId="13399A30" w14:textId="7791A75B" w:rsidR="00F80C82" w:rsidRPr="00FC4688" w:rsidRDefault="005431FF" w:rsidP="006F3389">
      <w:pPr>
        <w:rPr>
          <w:rFonts w:cs="Times New Roman"/>
        </w:rPr>
      </w:pPr>
      <w:r w:rsidRPr="00FC4688">
        <w:rPr>
          <w:rFonts w:cs="Times New Roman"/>
          <w:noProof/>
          <w:lang w:eastAsia="es-GT"/>
        </w:rPr>
        <w:drawing>
          <wp:inline distT="0" distB="0" distL="0" distR="0" wp14:anchorId="29CE4EB6" wp14:editId="79C04F1F">
            <wp:extent cx="5934710" cy="4517409"/>
            <wp:effectExtent l="0" t="0" r="8890" b="165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8B83C8" w14:textId="24B6DD59" w:rsidR="003A7E35" w:rsidRPr="003A7E35" w:rsidRDefault="003A7E35" w:rsidP="003A7E35">
      <w:pPr>
        <w:rPr>
          <w:rFonts w:cs="Times New Roman"/>
        </w:rPr>
      </w:pPr>
      <w:r w:rsidRPr="003A7E35">
        <w:rPr>
          <w:rFonts w:cs="Times New Roman"/>
        </w:rPr>
        <w:lastRenderedPageBreak/>
        <w:t>Por su parte, las erogaciones destinadas a servicios públicos generales ascendieron a Q20,616.8 millones, que representa crecimiento interanual de 13.9% (Q2,520.7 millones), seguido de las erogaciones destinadas a vivienda y servicios comunitarios, con un monto Q10,144.7 millones y variación de 17.3% (Q1,494.9 millones); y, las erogaciones por orden público y seguridad, que ascendieron a Q12,445.1 millones con aumento de 12.7% (Q1,400.3 millones).</w:t>
      </w:r>
    </w:p>
    <w:p w14:paraId="554B80B9" w14:textId="77777777" w:rsidR="003A7E35" w:rsidRPr="003A7E35" w:rsidRDefault="003A7E35" w:rsidP="003A7E35">
      <w:pPr>
        <w:rPr>
          <w:rFonts w:cs="Times New Roman"/>
        </w:rPr>
      </w:pPr>
    </w:p>
    <w:p w14:paraId="228579F4" w14:textId="58281AC6" w:rsidR="00DA2A6D" w:rsidRDefault="003A7E35" w:rsidP="003A7E35">
      <w:pPr>
        <w:rPr>
          <w:rFonts w:cs="Times New Roman"/>
        </w:rPr>
      </w:pPr>
      <w:r w:rsidRPr="003A7E35">
        <w:rPr>
          <w:rFonts w:cs="Times New Roman"/>
        </w:rPr>
        <w:t xml:space="preserve">En cuanto a las erogaciones por función de protección social, éstas alcanzaron los Q11,883.5 millones presentando incremento de 11.3% (Q1,209.2 millones); por defensa se situaron en Q2,341.5 millones, con </w:t>
      </w:r>
      <w:r w:rsidR="00F225F6">
        <w:rPr>
          <w:rFonts w:cs="Times New Roman"/>
        </w:rPr>
        <w:t xml:space="preserve">una </w:t>
      </w:r>
      <w:r w:rsidRPr="003A7E35">
        <w:rPr>
          <w:rFonts w:cs="Times New Roman"/>
        </w:rPr>
        <w:t>tasa de crecimiento del 31.1% (Q554.8 millones); por la función de salud, las erogaciones ascendieron a Q10,812.1 millones, con incremento interanual de 5.3% (Q541.1 millones); en tanto por protección del medio ambiente y actividades recreativas ascendieron a Q1,579.9 millones y Q1,226.1 millones respectivamente, lo cual representó crecimiento de 25.1% (Q316.9 millones) y de 11.8% (Q129.8 millones), en su orden.</w:t>
      </w:r>
    </w:p>
    <w:p w14:paraId="111C1112" w14:textId="77777777" w:rsidR="003A7E35" w:rsidRPr="00FC4688" w:rsidRDefault="003A7E35" w:rsidP="003A7E35">
      <w:pPr>
        <w:rPr>
          <w:rFonts w:cs="Times New Roman"/>
        </w:rPr>
      </w:pPr>
    </w:p>
    <w:p w14:paraId="75A44C38" w14:textId="3DD89F22" w:rsidR="00513B56" w:rsidRPr="00FC4688" w:rsidRDefault="00CB5A9E" w:rsidP="00C56688">
      <w:pPr>
        <w:pStyle w:val="Ttulo2"/>
        <w:numPr>
          <w:ilvl w:val="1"/>
          <w:numId w:val="12"/>
        </w:numPr>
        <w:tabs>
          <w:tab w:val="left" w:pos="426"/>
        </w:tabs>
        <w:spacing w:before="0"/>
        <w:rPr>
          <w:rFonts w:ascii="Times New Roman" w:hAnsi="Times New Roman" w:cs="Times New Roman"/>
          <w:color w:val="auto"/>
          <w:sz w:val="24"/>
        </w:rPr>
      </w:pPr>
      <w:bookmarkStart w:id="1188" w:name="_Toc127437702"/>
      <w:r>
        <w:rPr>
          <w:rFonts w:ascii="Times New Roman" w:hAnsi="Times New Roman" w:cs="Times New Roman"/>
          <w:color w:val="auto"/>
          <w:sz w:val="24"/>
        </w:rPr>
        <w:t>Ejecución institucional</w:t>
      </w:r>
      <w:bookmarkEnd w:id="1188"/>
    </w:p>
    <w:p w14:paraId="221D7EB4" w14:textId="08DE7B35" w:rsidR="0047789B" w:rsidRPr="0047789B" w:rsidRDefault="0047789B" w:rsidP="0047789B">
      <w:pPr>
        <w:pStyle w:val="Sinespaciado"/>
        <w:jc w:val="both"/>
        <w:rPr>
          <w:rFonts w:ascii="Times New Roman" w:hAnsi="Times New Roman" w:cs="Times New Roman"/>
        </w:rPr>
      </w:pPr>
      <w:r w:rsidRPr="0047789B">
        <w:rPr>
          <w:rFonts w:ascii="Times New Roman" w:hAnsi="Times New Roman" w:cs="Times New Roman"/>
        </w:rPr>
        <w:t xml:space="preserve">La ejecución presupuestaria por entidad muestra que el mayor nivel de ejecución al </w:t>
      </w:r>
      <w:r w:rsidR="00143517">
        <w:rPr>
          <w:rFonts w:ascii="Times New Roman" w:hAnsi="Times New Roman" w:cs="Times New Roman"/>
        </w:rPr>
        <w:t>cierre del año</w:t>
      </w:r>
      <w:r w:rsidRPr="0047789B">
        <w:rPr>
          <w:rFonts w:ascii="Times New Roman" w:hAnsi="Times New Roman" w:cs="Times New Roman"/>
        </w:rPr>
        <w:t>, lo presentan las entidades: Defensa (99.9%), MINREX (99.3%), Energía (99.3%), Deuda Pública (98.8%), Desarrollo (98.7%), Finanzas (98.6%), Educación (98.3%), Presidencia (97.7%), Gobernación (97.1%), PGN (97.0%), Trabajo (96.4%) y Economía (96.3%), que son las entidades que se encuentran por arriba de la ejecución institucional total (96.1%).</w:t>
      </w:r>
    </w:p>
    <w:p w14:paraId="60927B08" w14:textId="4B70A89B" w:rsidR="0047789B" w:rsidRPr="0047789B" w:rsidRDefault="0047789B" w:rsidP="0047789B">
      <w:pPr>
        <w:pStyle w:val="Sinespaciado"/>
        <w:jc w:val="both"/>
        <w:rPr>
          <w:rFonts w:ascii="Times New Roman" w:hAnsi="Times New Roman" w:cs="Times New Roman"/>
        </w:rPr>
      </w:pPr>
      <w:r w:rsidRPr="00FC4688">
        <w:rPr>
          <w:rFonts w:cs="Times New Roman"/>
          <w:noProof/>
          <w:sz w:val="18"/>
          <w:szCs w:val="18"/>
          <w:lang w:eastAsia="es-GT"/>
        </w:rPr>
        <w:drawing>
          <wp:anchor distT="0" distB="0" distL="114300" distR="114300" simplePos="0" relativeHeight="251675652" behindDoc="0" locked="0" layoutInCell="1" allowOverlap="1" wp14:anchorId="5B5C7187" wp14:editId="656866B0">
            <wp:simplePos x="0" y="0"/>
            <wp:positionH relativeFrom="margin">
              <wp:align>right</wp:align>
            </wp:positionH>
            <wp:positionV relativeFrom="page">
              <wp:posOffset>4210050</wp:posOffset>
            </wp:positionV>
            <wp:extent cx="2554605" cy="4770755"/>
            <wp:effectExtent l="0" t="0" r="0"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53BB943" w14:textId="2266DCEF" w:rsidR="0047789B" w:rsidRDefault="00341B50" w:rsidP="0047789B">
      <w:pPr>
        <w:pStyle w:val="Sinespaciado"/>
        <w:jc w:val="both"/>
        <w:rPr>
          <w:rFonts w:ascii="Times New Roman" w:hAnsi="Times New Roman" w:cs="Times New Roman"/>
        </w:rPr>
      </w:pPr>
      <w:r w:rsidRPr="00341B50">
        <w:rPr>
          <w:rFonts w:ascii="Times New Roman" w:hAnsi="Times New Roman" w:cs="Times New Roman"/>
        </w:rPr>
        <w:t xml:space="preserve">En el caso del Ministerio de Defensa Nacional, su ejecución estuvo impulsada principalmente porque todos los programas que implementa tuvieron ejecuciones superiores al 99%. </w:t>
      </w:r>
    </w:p>
    <w:p w14:paraId="2F1B675B" w14:textId="77777777" w:rsidR="00341B50" w:rsidRPr="00341B50" w:rsidRDefault="00341B50" w:rsidP="0047789B">
      <w:pPr>
        <w:pStyle w:val="Sinespaciado"/>
        <w:jc w:val="both"/>
        <w:rPr>
          <w:rFonts w:ascii="Times New Roman" w:hAnsi="Times New Roman" w:cs="Times New Roman"/>
          <w:lang w:val="es-ES_tradnl"/>
        </w:rPr>
      </w:pPr>
    </w:p>
    <w:p w14:paraId="332C2F71" w14:textId="0D8DAC51" w:rsidR="00E80382" w:rsidRDefault="00152BDF" w:rsidP="00E80382">
      <w:pPr>
        <w:rPr>
          <w:rFonts w:eastAsia="Times New Roman" w:cs="Times New Roman"/>
          <w:szCs w:val="22"/>
          <w:lang w:val="es-ES_tradnl"/>
        </w:rPr>
      </w:pPr>
      <w:r>
        <w:rPr>
          <w:rFonts w:eastAsia="Times New Roman" w:cs="Times New Roman"/>
          <w:szCs w:val="22"/>
          <w:lang w:val="es-ES_tradnl"/>
        </w:rPr>
        <w:t>El M</w:t>
      </w:r>
      <w:r w:rsidR="00E80382">
        <w:rPr>
          <w:rFonts w:eastAsia="Times New Roman" w:cs="Times New Roman"/>
          <w:szCs w:val="22"/>
          <w:lang w:val="es-ES_tradnl"/>
        </w:rPr>
        <w:t>isterio de Energía y Minas</w:t>
      </w:r>
      <w:r>
        <w:rPr>
          <w:rFonts w:eastAsia="Times New Roman" w:cs="Times New Roman"/>
          <w:szCs w:val="22"/>
          <w:lang w:val="es-ES_tradnl"/>
        </w:rPr>
        <w:t xml:space="preserve"> se</w:t>
      </w:r>
      <w:r w:rsidR="00E80382">
        <w:rPr>
          <w:rFonts w:eastAsia="Times New Roman" w:cs="Times New Roman"/>
          <w:szCs w:val="22"/>
          <w:lang w:val="es-ES_tradnl"/>
        </w:rPr>
        <w:t xml:space="preserve"> resalta que fue la entidad con el mayor crecimiento interanual, derivado que durante el año se aprobaron varias ampliaciones presupuestarias, lo cual provocó que el presupuesto de la entidad creciera en más de 30 veces su nivel inicial, esto por los apoyos temporales en el gas propano y las gasolinas por el alza de los precios, siendo una de las prioridades gubernamentales el apoyo a los hogares guatemaltecos durante un período de elevada inflación e incertidumbre. </w:t>
      </w:r>
    </w:p>
    <w:p w14:paraId="242008AA" w14:textId="77777777" w:rsidR="00152BDF" w:rsidRDefault="00152BDF" w:rsidP="00E80382">
      <w:pPr>
        <w:rPr>
          <w:rFonts w:eastAsia="Times New Roman" w:cs="Times New Roman"/>
          <w:szCs w:val="22"/>
          <w:lang w:val="es-ES_tradnl"/>
        </w:rPr>
      </w:pPr>
    </w:p>
    <w:p w14:paraId="43ACDB7E" w14:textId="52120486" w:rsidR="00152BDF" w:rsidRDefault="00152BDF" w:rsidP="00152BDF">
      <w:pPr>
        <w:pStyle w:val="Sinespaciado"/>
        <w:jc w:val="both"/>
        <w:rPr>
          <w:rFonts w:ascii="Times New Roman" w:hAnsi="Times New Roman" w:cs="Times New Roman"/>
        </w:rPr>
      </w:pPr>
      <w:r>
        <w:rPr>
          <w:rFonts w:ascii="Times New Roman" w:hAnsi="Times New Roman" w:cs="Times New Roman"/>
        </w:rPr>
        <w:t>En el caso de</w:t>
      </w:r>
      <w:r w:rsidRPr="00341B50">
        <w:rPr>
          <w:rFonts w:ascii="Times New Roman" w:hAnsi="Times New Roman" w:cs="Times New Roman"/>
        </w:rPr>
        <w:t>l Servicio de la Deuda Pública tuvo una alta ejecución</w:t>
      </w:r>
      <w:r>
        <w:rPr>
          <w:rFonts w:ascii="Times New Roman" w:hAnsi="Times New Roman" w:cs="Times New Roman"/>
        </w:rPr>
        <w:t xml:space="preserve"> y</w:t>
      </w:r>
      <w:r w:rsidRPr="00341B50">
        <w:rPr>
          <w:rFonts w:ascii="Times New Roman" w:hAnsi="Times New Roman" w:cs="Times New Roman"/>
        </w:rPr>
        <w:t xml:space="preserve"> siendo relevante dado que en ahí se registra el pago de intereses, comisiones y amortizaciones de deuda pública por compromisos adquiridos con tenedores de títulos de deuda</w:t>
      </w:r>
      <w:r w:rsidR="00FE5AE8">
        <w:rPr>
          <w:rFonts w:ascii="Times New Roman" w:hAnsi="Times New Roman" w:cs="Times New Roman"/>
        </w:rPr>
        <w:t xml:space="preserve"> y préstamos con organismos internacionales</w:t>
      </w:r>
      <w:r w:rsidRPr="00341B50">
        <w:rPr>
          <w:rFonts w:ascii="Times New Roman" w:hAnsi="Times New Roman" w:cs="Times New Roman"/>
        </w:rPr>
        <w:t>, es importante resaltar que durante el ejercicio fiscal se dejó sin colocar Q5,149.4 millones</w:t>
      </w:r>
      <w:r w:rsidR="004120BB">
        <w:rPr>
          <w:rFonts w:ascii="Times New Roman" w:hAnsi="Times New Roman" w:cs="Times New Roman"/>
        </w:rPr>
        <w:t>,</w:t>
      </w:r>
      <w:r w:rsidRPr="00341B50">
        <w:rPr>
          <w:rFonts w:ascii="Times New Roman" w:hAnsi="Times New Roman" w:cs="Times New Roman"/>
        </w:rPr>
        <w:t xml:space="preserve"> correspondiente a bonos del tesoro, debido a la disponibilidad de recursos en caja y a que las presiones de gasto estaban cubiertas con las fuentes de financiamiento disponibles, esto sería ventajoso de cara al futuro ya que representaría un menor servicio de la deuda para los próximos años</w:t>
      </w:r>
      <w:r w:rsidR="00F345B0">
        <w:rPr>
          <w:rFonts w:ascii="Times New Roman" w:hAnsi="Times New Roman" w:cs="Times New Roman"/>
        </w:rPr>
        <w:t>, con respecto a lo proyectado.</w:t>
      </w:r>
    </w:p>
    <w:p w14:paraId="31EF4813" w14:textId="77777777" w:rsidR="00152BDF" w:rsidRPr="00152BDF" w:rsidRDefault="00152BDF" w:rsidP="00E80382">
      <w:pPr>
        <w:rPr>
          <w:rFonts w:eastAsia="Times New Roman" w:cs="Times New Roman"/>
          <w:szCs w:val="22"/>
        </w:rPr>
      </w:pPr>
    </w:p>
    <w:p w14:paraId="0BFF2748" w14:textId="4588729D" w:rsidR="00197C75" w:rsidRPr="00FC4688" w:rsidRDefault="0047789B" w:rsidP="0047789B">
      <w:pPr>
        <w:pStyle w:val="Sinespaciado"/>
        <w:jc w:val="both"/>
        <w:rPr>
          <w:rFonts w:ascii="Times New Roman" w:hAnsi="Times New Roman" w:cs="Times New Roman"/>
        </w:rPr>
      </w:pPr>
      <w:r w:rsidRPr="00800214">
        <w:rPr>
          <w:rFonts w:ascii="Times New Roman" w:hAnsi="Times New Roman" w:cs="Times New Roman"/>
        </w:rPr>
        <w:lastRenderedPageBreak/>
        <w:t xml:space="preserve">Por otra parte, el resto de </w:t>
      </w:r>
      <w:r w:rsidR="0068420A" w:rsidRPr="00800214">
        <w:rPr>
          <w:rFonts w:ascii="Times New Roman" w:hAnsi="Times New Roman" w:cs="Times New Roman"/>
        </w:rPr>
        <w:t>las entidades</w:t>
      </w:r>
      <w:r w:rsidRPr="00800214">
        <w:rPr>
          <w:rFonts w:ascii="Times New Roman" w:hAnsi="Times New Roman" w:cs="Times New Roman"/>
        </w:rPr>
        <w:t>, en cuanto a su ejecución presupuestaria, se encuentran debajo de la ejecución total. De éstas las que presentaron menor ejecución fueron Cultura y Deportes (88.2%)</w:t>
      </w:r>
      <w:r w:rsidR="00B2381E" w:rsidRPr="00800214">
        <w:rPr>
          <w:rFonts w:ascii="Times New Roman" w:hAnsi="Times New Roman" w:cs="Times New Roman"/>
        </w:rPr>
        <w:t xml:space="preserve"> </w:t>
      </w:r>
      <w:r w:rsidRPr="00800214">
        <w:rPr>
          <w:rFonts w:ascii="Times New Roman" w:hAnsi="Times New Roman" w:cs="Times New Roman"/>
        </w:rPr>
        <w:t>y, Comunicaciones (89.5%)</w:t>
      </w:r>
    </w:p>
    <w:p w14:paraId="0EC1FA5E" w14:textId="77777777" w:rsidR="00AA50E7" w:rsidRDefault="00AA50E7" w:rsidP="008B017C">
      <w:pPr>
        <w:pStyle w:val="Sinespaciado"/>
        <w:jc w:val="both"/>
        <w:rPr>
          <w:rFonts w:ascii="Times New Roman" w:hAnsi="Times New Roman" w:cs="Times New Roman"/>
        </w:rPr>
      </w:pPr>
    </w:p>
    <w:p w14:paraId="607798EB" w14:textId="174839BB" w:rsidR="00AF6318" w:rsidRDefault="00AF6318" w:rsidP="00AF6318">
      <w:pPr>
        <w:rPr>
          <w:rFonts w:eastAsia="Times New Roman" w:cs="Times New Roman"/>
          <w:szCs w:val="22"/>
          <w:lang w:val="es-ES_tradnl"/>
        </w:rPr>
      </w:pPr>
      <w:r>
        <w:rPr>
          <w:rFonts w:eastAsia="Times New Roman" w:cs="Times New Roman"/>
          <w:szCs w:val="22"/>
          <w:lang w:val="es-ES_tradnl"/>
        </w:rPr>
        <w:t>En el caso del Ministerio de Comunicaciones fue la segunda entidad con menor nivel de ejecución siendo de 89.5%, es importante resaltar que tuvo una ampliación de su presupuesto por Q4,631.9 millones, las cuales se explican en buena medida por el Decreto 21-2022 "Ley para Fortalecer el Mantenimiento y Construcción de Infraestructura Estratégica", el cual no pudo ser ejecutado como se preveía. En un principio las acciones previstas en este decreto le darían un impulso de la inversión pública por medio de fortalecer el mantenimiento y construcción de infraestructura, así como la recuperación de la red vial. No obstante, derivado de un invierno más copioso y los desastres reportados en la gran mayoría del territorio guatemalteco, fue necesario reorientar recursos para el Fondo Emergente por medio de la declaratoria de Estados de Calamidad, lo cual permitiría mitigar los daños ocasionados por los fenómenos naturales que afectaron al país. Derivado de ello, la entidad reportó un aumento de sus intervenciones en el mantenimiento de infraestructura vial, lo cual se vio reflejado en el rubro de bienes y servicios.</w:t>
      </w:r>
    </w:p>
    <w:p w14:paraId="4096220C" w14:textId="263340C3" w:rsidR="00AF6318" w:rsidRPr="00AF6318" w:rsidRDefault="00AF6318" w:rsidP="008B017C">
      <w:pPr>
        <w:pStyle w:val="Sinespaciado"/>
        <w:jc w:val="both"/>
        <w:rPr>
          <w:rFonts w:ascii="Times New Roman" w:hAnsi="Times New Roman" w:cs="Times New Roman"/>
          <w:lang w:val="es-ES_tradnl"/>
        </w:rPr>
      </w:pPr>
    </w:p>
    <w:p w14:paraId="63F74DC4" w14:textId="77777777" w:rsidR="00380981" w:rsidRPr="00FC4688" w:rsidRDefault="00C84436" w:rsidP="00C17472">
      <w:pPr>
        <w:pStyle w:val="Prrafodelista"/>
        <w:numPr>
          <w:ilvl w:val="0"/>
          <w:numId w:val="1"/>
        </w:numPr>
        <w:ind w:left="426" w:hanging="426"/>
        <w:outlineLvl w:val="0"/>
        <w:rPr>
          <w:rFonts w:cs="Times New Roman"/>
          <w:b/>
          <w:sz w:val="24"/>
          <w:lang w:val="es-MX"/>
        </w:rPr>
      </w:pPr>
      <w:bookmarkStart w:id="1189" w:name="_Toc127437703"/>
      <w:r w:rsidRPr="00FC4688">
        <w:rPr>
          <w:rFonts w:cs="Times New Roman"/>
          <w:b/>
          <w:sz w:val="24"/>
          <w:lang w:val="es-MX"/>
        </w:rPr>
        <w:t>Resultado Fiscal</w:t>
      </w:r>
      <w:bookmarkEnd w:id="1189"/>
      <w:r w:rsidRPr="00FC4688">
        <w:rPr>
          <w:rFonts w:cs="Times New Roman"/>
          <w:b/>
          <w:sz w:val="24"/>
          <w:lang w:val="es-MX"/>
        </w:rPr>
        <w:t xml:space="preserve"> </w:t>
      </w:r>
    </w:p>
    <w:p w14:paraId="216F3BF0" w14:textId="77777777" w:rsidR="00C84436" w:rsidRPr="00FC4688" w:rsidRDefault="005F5E9E" w:rsidP="00D319A6">
      <w:pPr>
        <w:rPr>
          <w:rFonts w:eastAsiaTheme="majorEastAsia" w:cs="Times New Roman"/>
          <w:b/>
          <w:bCs/>
          <w:sz w:val="24"/>
          <w:szCs w:val="26"/>
        </w:rPr>
      </w:pPr>
      <w:bookmarkStart w:id="1190" w:name="_Toc42023982"/>
      <w:bookmarkStart w:id="1191" w:name="_Toc42024033"/>
      <w:bookmarkEnd w:id="1190"/>
      <w:bookmarkEnd w:id="1191"/>
      <w:r w:rsidRPr="00FC4688">
        <w:rPr>
          <w:rFonts w:eastAsiaTheme="majorEastAsia"/>
          <w:noProof/>
          <w:lang w:eastAsia="es-GT"/>
        </w:rPr>
        <w:drawing>
          <wp:inline distT="0" distB="0" distL="0" distR="0" wp14:anchorId="53C2D341" wp14:editId="1EF724EF">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Start w:id="1192" w:name="_Toc31624513"/>
      <w:bookmarkStart w:id="1193" w:name="_Toc31625365"/>
      <w:bookmarkStart w:id="1194" w:name="_Toc31626820"/>
      <w:bookmarkStart w:id="1195" w:name="_Toc31811271"/>
      <w:bookmarkStart w:id="1196" w:name="_Toc31811725"/>
      <w:bookmarkStart w:id="1197" w:name="_Toc31971888"/>
      <w:bookmarkStart w:id="1198" w:name="_Toc32230910"/>
      <w:bookmarkStart w:id="1199" w:name="_Toc33109798"/>
      <w:bookmarkStart w:id="1200" w:name="_Toc33109840"/>
      <w:bookmarkStart w:id="1201" w:name="_Toc33180561"/>
      <w:bookmarkStart w:id="1202" w:name="_Toc33180655"/>
      <w:bookmarkStart w:id="1203" w:name="_Toc33193552"/>
      <w:bookmarkStart w:id="1204" w:name="_Toc33193591"/>
      <w:bookmarkStart w:id="1205" w:name="_Toc33196788"/>
      <w:bookmarkStart w:id="1206" w:name="_Toc40691764"/>
      <w:bookmarkStart w:id="1207" w:name="_Toc40959164"/>
      <w:bookmarkStart w:id="1208" w:name="_Toc40975998"/>
      <w:bookmarkStart w:id="1209" w:name="_Toc40976067"/>
      <w:bookmarkStart w:id="1210" w:name="_Toc40993323"/>
      <w:bookmarkStart w:id="1211" w:name="_Toc40993705"/>
      <w:bookmarkStart w:id="1212" w:name="_Toc41037581"/>
      <w:bookmarkStart w:id="1213" w:name="_Toc41254141"/>
      <w:bookmarkStart w:id="1214" w:name="_Toc41254173"/>
      <w:bookmarkStart w:id="1215" w:name="_Toc41254193"/>
      <w:bookmarkStart w:id="1216" w:name="_Toc42023983"/>
      <w:bookmarkStart w:id="1217" w:name="_Toc42024034"/>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435B279A" w14:textId="77777777" w:rsidR="00182B79" w:rsidRPr="00FC4688"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1218" w:name="_Toc42069123"/>
      <w:bookmarkStart w:id="1219" w:name="_Toc49422069"/>
      <w:bookmarkStart w:id="1220" w:name="_Toc49422095"/>
      <w:bookmarkStart w:id="1221" w:name="_Toc49430674"/>
      <w:bookmarkStart w:id="1222" w:name="_Toc49430700"/>
      <w:bookmarkStart w:id="1223" w:name="_Toc49750477"/>
      <w:bookmarkStart w:id="1224" w:name="_Toc49750727"/>
      <w:bookmarkStart w:id="1225" w:name="_Toc49750755"/>
      <w:bookmarkStart w:id="1226" w:name="_Toc55284841"/>
      <w:bookmarkStart w:id="1227" w:name="_Toc55298859"/>
      <w:bookmarkStart w:id="1228" w:name="_Toc55373842"/>
      <w:bookmarkStart w:id="1229" w:name="_Toc55374018"/>
      <w:bookmarkStart w:id="1230" w:name="_Toc55375155"/>
      <w:bookmarkStart w:id="1231" w:name="_Toc55396563"/>
      <w:bookmarkStart w:id="1232" w:name="_Toc65230560"/>
      <w:bookmarkStart w:id="1233" w:name="_Toc65230798"/>
      <w:bookmarkStart w:id="1234" w:name="_Toc65232082"/>
      <w:bookmarkStart w:id="1235" w:name="_Toc65232327"/>
      <w:bookmarkStart w:id="1236" w:name="_Toc66716186"/>
      <w:bookmarkStart w:id="1237" w:name="_Toc71097230"/>
      <w:bookmarkStart w:id="1238" w:name="_Toc71097261"/>
      <w:bookmarkStart w:id="1239" w:name="_Toc71097336"/>
      <w:bookmarkStart w:id="1240" w:name="_Toc71108076"/>
      <w:bookmarkStart w:id="1241" w:name="_Toc79055270"/>
      <w:bookmarkStart w:id="1242" w:name="_Toc79055301"/>
      <w:bookmarkStart w:id="1243" w:name="_Toc79060192"/>
      <w:bookmarkStart w:id="1244" w:name="_Toc79060479"/>
      <w:bookmarkStart w:id="1245" w:name="_Toc81307836"/>
      <w:bookmarkStart w:id="1246" w:name="_Toc83376497"/>
      <w:bookmarkStart w:id="1247" w:name="_Toc86386736"/>
      <w:bookmarkStart w:id="1248" w:name="_Toc86405422"/>
      <w:bookmarkStart w:id="1249" w:name="_Toc98162452"/>
      <w:bookmarkStart w:id="1250" w:name="_Toc98162484"/>
      <w:bookmarkStart w:id="1251" w:name="_Toc98235010"/>
      <w:bookmarkStart w:id="1252" w:name="_Toc98235205"/>
      <w:bookmarkStart w:id="1253" w:name="_Toc98235290"/>
      <w:bookmarkStart w:id="1254" w:name="_Toc98757160"/>
      <w:bookmarkStart w:id="1255" w:name="_Toc101874715"/>
      <w:bookmarkStart w:id="1256" w:name="_Toc101954171"/>
      <w:bookmarkStart w:id="1257" w:name="_Toc101971988"/>
      <w:bookmarkStart w:id="1258" w:name="_Toc101974080"/>
      <w:bookmarkStart w:id="1259" w:name="_Toc102039765"/>
      <w:bookmarkStart w:id="1260" w:name="_Toc102039803"/>
      <w:bookmarkStart w:id="1261" w:name="_Toc102039843"/>
      <w:bookmarkStart w:id="1262" w:name="_Toc102039874"/>
      <w:bookmarkStart w:id="1263" w:name="_Toc102040932"/>
      <w:bookmarkStart w:id="1264" w:name="_Toc102477780"/>
      <w:bookmarkStart w:id="1265" w:name="_Toc102477811"/>
      <w:bookmarkStart w:id="1266" w:name="_Toc109824841"/>
      <w:bookmarkStart w:id="1267" w:name="_Toc109828797"/>
      <w:bookmarkStart w:id="1268" w:name="_Toc109828860"/>
      <w:bookmarkStart w:id="1269" w:name="_Toc109829036"/>
      <w:bookmarkStart w:id="1270" w:name="_Toc109829067"/>
      <w:bookmarkStart w:id="1271" w:name="_Toc109833911"/>
      <w:bookmarkStart w:id="1272" w:name="_Toc110237454"/>
      <w:bookmarkStart w:id="1273" w:name="_Toc117775331"/>
      <w:bookmarkStart w:id="1274" w:name="_Toc117781300"/>
      <w:bookmarkStart w:id="1275" w:name="_Toc125620828"/>
      <w:bookmarkStart w:id="1276" w:name="_Toc125620859"/>
      <w:bookmarkStart w:id="1277" w:name="_Toc125620890"/>
      <w:bookmarkStart w:id="1278" w:name="_Toc125620926"/>
      <w:bookmarkStart w:id="1279" w:name="_Toc125620957"/>
      <w:bookmarkStart w:id="1280" w:name="_Toc125620991"/>
      <w:bookmarkStart w:id="1281" w:name="_Toc125621044"/>
      <w:bookmarkStart w:id="1282" w:name="_Toc125621098"/>
      <w:bookmarkStart w:id="1283" w:name="_Toc125623576"/>
      <w:bookmarkStart w:id="1284" w:name="_Toc125623608"/>
      <w:bookmarkStart w:id="1285" w:name="_Toc125623640"/>
      <w:bookmarkStart w:id="1286" w:name="_Toc125970386"/>
      <w:bookmarkStart w:id="1287" w:name="_Toc125970418"/>
      <w:bookmarkStart w:id="1288" w:name="_Toc127365869"/>
      <w:bookmarkStart w:id="1289" w:name="_Toc127434620"/>
      <w:bookmarkStart w:id="1290" w:name="_Toc127436988"/>
      <w:bookmarkStart w:id="1291" w:name="_Toc127437349"/>
      <w:bookmarkStart w:id="1292" w:name="_Toc127437704"/>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1B0B0861" w14:textId="7405193D" w:rsidR="00364844" w:rsidRPr="00FC4688"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293" w:name="_Toc127437705"/>
      <w:r w:rsidRPr="00FC4688">
        <w:rPr>
          <w:rFonts w:ascii="Times New Roman" w:hAnsi="Times New Roman" w:cs="Times New Roman"/>
          <w:color w:val="auto"/>
          <w:sz w:val="24"/>
        </w:rPr>
        <w:t>R</w:t>
      </w:r>
      <w:r w:rsidR="00540B30" w:rsidRPr="00FC4688">
        <w:rPr>
          <w:rFonts w:ascii="Times New Roman" w:hAnsi="Times New Roman" w:cs="Times New Roman"/>
          <w:color w:val="auto"/>
          <w:sz w:val="24"/>
        </w:rPr>
        <w:t xml:space="preserve">esultado </w:t>
      </w:r>
      <w:r w:rsidR="003C3E6F" w:rsidRPr="00FC4688">
        <w:rPr>
          <w:rFonts w:ascii="Times New Roman" w:hAnsi="Times New Roman" w:cs="Times New Roman"/>
          <w:color w:val="auto"/>
          <w:sz w:val="24"/>
        </w:rPr>
        <w:t>O</w:t>
      </w:r>
      <w:r w:rsidR="00540B30" w:rsidRPr="00FC4688">
        <w:rPr>
          <w:rFonts w:ascii="Times New Roman" w:hAnsi="Times New Roman" w:cs="Times New Roman"/>
          <w:color w:val="auto"/>
          <w:sz w:val="24"/>
        </w:rPr>
        <w:t>perativo</w:t>
      </w:r>
      <w:bookmarkEnd w:id="1293"/>
      <w:r w:rsidR="00EE52DF" w:rsidRPr="00FC4688">
        <w:rPr>
          <w:rFonts w:ascii="Times New Roman" w:hAnsi="Times New Roman" w:cs="Times New Roman"/>
          <w:color w:val="auto"/>
          <w:sz w:val="24"/>
        </w:rPr>
        <w:t xml:space="preserve"> </w:t>
      </w:r>
      <w:bookmarkEnd w:id="613"/>
    </w:p>
    <w:p w14:paraId="453D35AE" w14:textId="6144712A" w:rsidR="00BB3A21" w:rsidRPr="00FC4688" w:rsidRDefault="000E5B2A" w:rsidP="0045490A">
      <w:pPr>
        <w:pStyle w:val="Sinespaciado"/>
        <w:jc w:val="both"/>
        <w:rPr>
          <w:rFonts w:ascii="Times New Roman" w:hAnsi="Times New Roman" w:cs="Times New Roman"/>
        </w:rPr>
      </w:pPr>
      <w:r>
        <w:rPr>
          <w:rFonts w:ascii="Times New Roman" w:hAnsi="Times New Roman" w:cs="Times New Roman"/>
        </w:rPr>
        <w:t xml:space="preserve">El resultado operativo para el </w:t>
      </w:r>
      <w:r w:rsidR="005D1254" w:rsidRPr="00FC4688">
        <w:rPr>
          <w:rFonts w:ascii="Times New Roman" w:hAnsi="Times New Roman" w:cs="Times New Roman"/>
        </w:rPr>
        <w:t xml:space="preserve">2022, </w:t>
      </w:r>
      <w:r w:rsidR="00FE4372">
        <w:rPr>
          <w:rFonts w:ascii="Times New Roman" w:hAnsi="Times New Roman" w:cs="Times New Roman"/>
        </w:rPr>
        <w:t xml:space="preserve">fue </w:t>
      </w:r>
      <w:r w:rsidR="008A10F4" w:rsidRPr="00FC4688">
        <w:rPr>
          <w:rFonts w:ascii="Times New Roman" w:hAnsi="Times New Roman" w:cs="Times New Roman"/>
        </w:rPr>
        <w:t>negativo</w:t>
      </w:r>
      <w:r w:rsidR="0099162B" w:rsidRPr="00FC4688">
        <w:rPr>
          <w:rFonts w:ascii="Times New Roman" w:hAnsi="Times New Roman" w:cs="Times New Roman"/>
        </w:rPr>
        <w:t xml:space="preserve"> </w:t>
      </w:r>
      <w:r w:rsidR="008A10F4" w:rsidRPr="00FC4688">
        <w:rPr>
          <w:rFonts w:ascii="Times New Roman" w:hAnsi="Times New Roman" w:cs="Times New Roman"/>
        </w:rPr>
        <w:t>por</w:t>
      </w:r>
      <w:r w:rsidR="007A0181" w:rsidRPr="00FC4688">
        <w:rPr>
          <w:rFonts w:ascii="Times New Roman" w:hAnsi="Times New Roman" w:cs="Times New Roman"/>
        </w:rPr>
        <w:t xml:space="preserve"> Q</w:t>
      </w:r>
      <w:r w:rsidR="00F22F28" w:rsidRPr="00F22F28">
        <w:rPr>
          <w:rFonts w:ascii="Times New Roman" w:hAnsi="Times New Roman" w:cs="Times New Roman"/>
        </w:rPr>
        <w:t>8,042.3</w:t>
      </w:r>
      <w:r w:rsidR="008A10F4" w:rsidRPr="00FC4688">
        <w:rPr>
          <w:rFonts w:ascii="Times New Roman" w:hAnsi="Times New Roman" w:cs="Times New Roman"/>
        </w:rPr>
        <w:t xml:space="preserve"> </w:t>
      </w:r>
      <w:r w:rsidR="007A0181" w:rsidRPr="00FC4688">
        <w:rPr>
          <w:rFonts w:ascii="Times New Roman" w:hAnsi="Times New Roman" w:cs="Times New Roman"/>
        </w:rPr>
        <w:t>millones</w:t>
      </w:r>
      <w:r w:rsidR="0020052E">
        <w:rPr>
          <w:rFonts w:ascii="Times New Roman" w:hAnsi="Times New Roman" w:cs="Times New Roman"/>
        </w:rPr>
        <w:t xml:space="preserve"> </w:t>
      </w:r>
      <w:r w:rsidR="00B935B5">
        <w:rPr>
          <w:rFonts w:ascii="Times New Roman" w:hAnsi="Times New Roman" w:cs="Times New Roman"/>
        </w:rPr>
        <w:t>que,</w:t>
      </w:r>
      <w:r w:rsidR="004B4F1A" w:rsidRPr="00FC4688">
        <w:rPr>
          <w:rFonts w:ascii="Times New Roman" w:hAnsi="Times New Roman" w:cs="Times New Roman"/>
        </w:rPr>
        <w:t xml:space="preserve"> </w:t>
      </w:r>
      <w:r w:rsidR="0020052E">
        <w:rPr>
          <w:rFonts w:ascii="Times New Roman" w:hAnsi="Times New Roman" w:cs="Times New Roman"/>
        </w:rPr>
        <w:t xml:space="preserve">en términos del PIB, este equivale al 1.1%, </w:t>
      </w:r>
      <w:r w:rsidR="004B4F1A" w:rsidRPr="00FC4688">
        <w:rPr>
          <w:rFonts w:ascii="Times New Roman" w:hAnsi="Times New Roman" w:cs="Times New Roman"/>
        </w:rPr>
        <w:t xml:space="preserve">mientras </w:t>
      </w:r>
      <w:proofErr w:type="gramStart"/>
      <w:r w:rsidR="00982217" w:rsidRPr="00FC4688">
        <w:rPr>
          <w:rFonts w:ascii="Times New Roman" w:hAnsi="Times New Roman" w:cs="Times New Roman"/>
        </w:rPr>
        <w:t>que</w:t>
      </w:r>
      <w:proofErr w:type="gramEnd"/>
      <w:r w:rsidR="00816E4D" w:rsidRPr="00FC4688">
        <w:rPr>
          <w:rFonts w:ascii="Times New Roman" w:hAnsi="Times New Roman" w:cs="Times New Roman"/>
        </w:rPr>
        <w:t xml:space="preserve"> en el año previo</w:t>
      </w:r>
      <w:r w:rsidR="00082DFF" w:rsidRPr="00FC4688">
        <w:rPr>
          <w:rFonts w:ascii="Times New Roman" w:hAnsi="Times New Roman" w:cs="Times New Roman"/>
        </w:rPr>
        <w:t xml:space="preserve">, este se situaba en un valor negativo </w:t>
      </w:r>
      <w:r w:rsidR="00CB218A">
        <w:rPr>
          <w:rFonts w:ascii="Times New Roman" w:hAnsi="Times New Roman" w:cs="Times New Roman"/>
        </w:rPr>
        <w:t>de</w:t>
      </w:r>
      <w:r w:rsidR="00816E4D" w:rsidRPr="00FC4688">
        <w:rPr>
          <w:rFonts w:ascii="Times New Roman" w:hAnsi="Times New Roman" w:cs="Times New Roman"/>
        </w:rPr>
        <w:t xml:space="preserve"> Q</w:t>
      </w:r>
      <w:r w:rsidR="00CB218A" w:rsidRPr="00CB218A">
        <w:rPr>
          <w:rFonts w:ascii="Times New Roman" w:hAnsi="Times New Roman" w:cs="Times New Roman"/>
        </w:rPr>
        <w:t>3,934.3</w:t>
      </w:r>
      <w:r w:rsidR="00BB3A21" w:rsidRPr="00FC4688">
        <w:rPr>
          <w:rFonts w:ascii="Times New Roman" w:hAnsi="Times New Roman" w:cs="Times New Roman"/>
        </w:rPr>
        <w:t xml:space="preserve"> millones</w:t>
      </w:r>
      <w:r w:rsidR="00B935B5">
        <w:rPr>
          <w:rFonts w:ascii="Times New Roman" w:hAnsi="Times New Roman" w:cs="Times New Roman"/>
        </w:rPr>
        <w:t xml:space="preserve"> que equivale al 0.6% del PIB</w:t>
      </w:r>
      <w:r w:rsidR="004B4F1A" w:rsidRPr="00FC4688">
        <w:rPr>
          <w:rFonts w:ascii="Times New Roman" w:hAnsi="Times New Roman" w:cs="Times New Roman"/>
        </w:rPr>
        <w:t>.</w:t>
      </w:r>
      <w:r w:rsidR="00BB3A21" w:rsidRPr="00FC4688">
        <w:rPr>
          <w:rFonts w:ascii="Times New Roman" w:hAnsi="Times New Roman" w:cs="Times New Roman"/>
        </w:rPr>
        <w:t xml:space="preserve"> </w:t>
      </w:r>
    </w:p>
    <w:p w14:paraId="5703A0BB" w14:textId="77777777" w:rsidR="00BB3A21" w:rsidRPr="00FC4688" w:rsidRDefault="00BB3A21" w:rsidP="0045490A">
      <w:pPr>
        <w:pStyle w:val="Sinespaciado"/>
        <w:jc w:val="both"/>
        <w:rPr>
          <w:rFonts w:ascii="Times New Roman" w:hAnsi="Times New Roman" w:cs="Times New Roman"/>
        </w:rPr>
      </w:pPr>
    </w:p>
    <w:p w14:paraId="60D0EA53" w14:textId="3B1D2220" w:rsidR="00973029" w:rsidRPr="00FC4688" w:rsidRDefault="00BB3A21" w:rsidP="0045490A">
      <w:pPr>
        <w:pStyle w:val="Sinespaciado"/>
        <w:jc w:val="both"/>
        <w:rPr>
          <w:rFonts w:ascii="Times New Roman" w:hAnsi="Times New Roman" w:cs="Times New Roman"/>
        </w:rPr>
      </w:pPr>
      <w:r w:rsidRPr="00FC4688">
        <w:rPr>
          <w:rFonts w:ascii="Times New Roman" w:hAnsi="Times New Roman" w:cs="Times New Roman"/>
        </w:rPr>
        <w:t xml:space="preserve">El </w:t>
      </w:r>
      <w:r w:rsidR="00976100" w:rsidRPr="00FC4688">
        <w:rPr>
          <w:rFonts w:ascii="Times New Roman" w:hAnsi="Times New Roman" w:cs="Times New Roman"/>
        </w:rPr>
        <w:t xml:space="preserve">resultado operativo primario (sin considerar el pago de intereses) es </w:t>
      </w:r>
      <w:r w:rsidR="00881C20" w:rsidRPr="00FC4688">
        <w:rPr>
          <w:rFonts w:ascii="Times New Roman" w:hAnsi="Times New Roman" w:cs="Times New Roman"/>
        </w:rPr>
        <w:t>positivo</w:t>
      </w:r>
      <w:r w:rsidR="0079278F" w:rsidRPr="00FC4688">
        <w:rPr>
          <w:rFonts w:ascii="Times New Roman" w:hAnsi="Times New Roman" w:cs="Times New Roman"/>
        </w:rPr>
        <w:t xml:space="preserve"> </w:t>
      </w:r>
      <w:r w:rsidR="00CB218A">
        <w:rPr>
          <w:rFonts w:ascii="Times New Roman" w:hAnsi="Times New Roman" w:cs="Times New Roman"/>
        </w:rPr>
        <w:t xml:space="preserve">por un monto de </w:t>
      </w:r>
      <w:r w:rsidR="00976100" w:rsidRPr="00FC4688">
        <w:rPr>
          <w:rFonts w:ascii="Times New Roman" w:hAnsi="Times New Roman" w:cs="Times New Roman"/>
        </w:rPr>
        <w:t>Q</w:t>
      </w:r>
      <w:r w:rsidR="00CB218A" w:rsidRPr="00CB218A">
        <w:rPr>
          <w:rFonts w:ascii="Times New Roman" w:hAnsi="Times New Roman" w:cs="Times New Roman"/>
        </w:rPr>
        <w:t>4,078.2</w:t>
      </w:r>
      <w:r w:rsidR="00CB218A">
        <w:rPr>
          <w:rFonts w:ascii="Times New Roman" w:hAnsi="Times New Roman" w:cs="Times New Roman"/>
        </w:rPr>
        <w:t xml:space="preserve"> millones</w:t>
      </w:r>
      <w:r w:rsidR="00FF7623">
        <w:rPr>
          <w:rFonts w:ascii="Times New Roman" w:hAnsi="Times New Roman" w:cs="Times New Roman"/>
        </w:rPr>
        <w:t>,</w:t>
      </w:r>
      <w:r w:rsidR="002D3612" w:rsidRPr="00FC4688">
        <w:rPr>
          <w:rFonts w:ascii="Times New Roman" w:hAnsi="Times New Roman" w:cs="Times New Roman"/>
        </w:rPr>
        <w:t xml:space="preserve"> </w:t>
      </w:r>
      <w:r w:rsidR="00FF7623">
        <w:rPr>
          <w:rFonts w:ascii="Times New Roman" w:hAnsi="Times New Roman" w:cs="Times New Roman"/>
        </w:rPr>
        <w:t>el equivalente al 0.6% del PIB,</w:t>
      </w:r>
      <w:r w:rsidR="00FF7623" w:rsidRPr="00FC4688">
        <w:rPr>
          <w:rFonts w:ascii="Times New Roman" w:hAnsi="Times New Roman" w:cs="Times New Roman"/>
        </w:rPr>
        <w:t xml:space="preserve"> </w:t>
      </w:r>
      <w:r w:rsidR="00881C20" w:rsidRPr="00FC4688">
        <w:rPr>
          <w:rFonts w:ascii="Times New Roman" w:hAnsi="Times New Roman" w:cs="Times New Roman"/>
        </w:rPr>
        <w:t xml:space="preserve">y </w:t>
      </w:r>
      <w:r w:rsidR="00982217" w:rsidRPr="00FC4688">
        <w:rPr>
          <w:rFonts w:ascii="Times New Roman" w:hAnsi="Times New Roman" w:cs="Times New Roman"/>
        </w:rPr>
        <w:t xml:space="preserve">el año previo </w:t>
      </w:r>
      <w:r w:rsidR="0079278F" w:rsidRPr="00FC4688">
        <w:rPr>
          <w:rFonts w:ascii="Times New Roman" w:hAnsi="Times New Roman" w:cs="Times New Roman"/>
        </w:rPr>
        <w:t xml:space="preserve">este </w:t>
      </w:r>
      <w:r w:rsidR="00982217" w:rsidRPr="00FC4688">
        <w:rPr>
          <w:rFonts w:ascii="Times New Roman" w:hAnsi="Times New Roman" w:cs="Times New Roman"/>
        </w:rPr>
        <w:t xml:space="preserve">había sido positivo por </w:t>
      </w:r>
      <w:r w:rsidR="002D3612" w:rsidRPr="00FC4688">
        <w:rPr>
          <w:rFonts w:ascii="Times New Roman" w:hAnsi="Times New Roman" w:cs="Times New Roman"/>
        </w:rPr>
        <w:t>Q</w:t>
      </w:r>
      <w:r w:rsidR="009D416D" w:rsidRPr="009D416D">
        <w:rPr>
          <w:rFonts w:ascii="Times New Roman" w:hAnsi="Times New Roman" w:cs="Times New Roman"/>
        </w:rPr>
        <w:t>7,460.3</w:t>
      </w:r>
      <w:r w:rsidR="00E73A95">
        <w:rPr>
          <w:rFonts w:ascii="Times New Roman" w:hAnsi="Times New Roman" w:cs="Times New Roman"/>
        </w:rPr>
        <w:t xml:space="preserve"> </w:t>
      </w:r>
      <w:r w:rsidR="00705FBF" w:rsidRPr="00FC4688">
        <w:rPr>
          <w:rFonts w:ascii="Times New Roman" w:hAnsi="Times New Roman" w:cs="Times New Roman"/>
        </w:rPr>
        <w:t>millones</w:t>
      </w:r>
      <w:r w:rsidR="001728DE">
        <w:rPr>
          <w:rFonts w:ascii="Times New Roman" w:hAnsi="Times New Roman" w:cs="Times New Roman"/>
        </w:rPr>
        <w:t xml:space="preserve"> </w:t>
      </w:r>
      <w:r w:rsidR="00836E10">
        <w:rPr>
          <w:rFonts w:ascii="Times New Roman" w:hAnsi="Times New Roman" w:cs="Times New Roman"/>
        </w:rPr>
        <w:t>siendo</w:t>
      </w:r>
      <w:r w:rsidR="00BC6C89">
        <w:rPr>
          <w:rFonts w:ascii="Times New Roman" w:hAnsi="Times New Roman" w:cs="Times New Roman"/>
        </w:rPr>
        <w:t xml:space="preserve"> el 1.1% del PIB</w:t>
      </w:r>
      <w:r w:rsidR="005A2B12" w:rsidRPr="00FC4688">
        <w:rPr>
          <w:rFonts w:ascii="Times New Roman" w:hAnsi="Times New Roman" w:cs="Times New Roman"/>
        </w:rPr>
        <w:t>.</w:t>
      </w:r>
    </w:p>
    <w:p w14:paraId="0C721065" w14:textId="77777777" w:rsidR="00973029" w:rsidRPr="00FC4688" w:rsidRDefault="00973029" w:rsidP="0045490A">
      <w:pPr>
        <w:pStyle w:val="Sinespaciado"/>
        <w:jc w:val="both"/>
        <w:rPr>
          <w:rFonts w:ascii="Times New Roman" w:hAnsi="Times New Roman" w:cs="Times New Roman"/>
        </w:rPr>
      </w:pPr>
    </w:p>
    <w:p w14:paraId="10242320" w14:textId="1445C747" w:rsidR="00374C59" w:rsidRPr="00FC4688" w:rsidRDefault="00B4032C"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294" w:name="_Toc127437706"/>
      <w:r>
        <w:rPr>
          <w:rFonts w:ascii="Times New Roman" w:hAnsi="Times New Roman" w:cs="Times New Roman"/>
          <w:color w:val="auto"/>
          <w:sz w:val="24"/>
        </w:rPr>
        <w:t>Endeudamiento Neto</w:t>
      </w:r>
      <w:bookmarkEnd w:id="1294"/>
    </w:p>
    <w:p w14:paraId="16990FF1" w14:textId="78A73314" w:rsidR="000F4B0C" w:rsidRPr="00FC4688" w:rsidRDefault="002010C5" w:rsidP="000A4AD2">
      <w:pPr>
        <w:pStyle w:val="Sinespaciado"/>
        <w:jc w:val="both"/>
        <w:rPr>
          <w:rFonts w:ascii="Times New Roman" w:hAnsi="Times New Roman" w:cs="Times New Roman"/>
        </w:rPr>
      </w:pPr>
      <w:r>
        <w:rPr>
          <w:rFonts w:ascii="Times New Roman" w:hAnsi="Times New Roman" w:cs="Times New Roman"/>
        </w:rPr>
        <w:t xml:space="preserve">En 2022, el gobierno central </w:t>
      </w:r>
      <w:r w:rsidR="000A4AD2">
        <w:rPr>
          <w:rFonts w:ascii="Times New Roman" w:hAnsi="Times New Roman" w:cs="Times New Roman"/>
        </w:rPr>
        <w:t xml:space="preserve">presupuestario </w:t>
      </w:r>
      <w:r w:rsidR="000A4AD2" w:rsidRPr="00FC4688">
        <w:rPr>
          <w:rFonts w:ascii="Times New Roman" w:hAnsi="Times New Roman" w:cs="Times New Roman"/>
        </w:rPr>
        <w:t>tuvo</w:t>
      </w:r>
      <w:r>
        <w:rPr>
          <w:rFonts w:ascii="Times New Roman" w:hAnsi="Times New Roman" w:cs="Times New Roman"/>
        </w:rPr>
        <w:t xml:space="preserve"> un </w:t>
      </w:r>
      <w:r w:rsidR="006B4253" w:rsidRPr="00FC4688">
        <w:rPr>
          <w:rFonts w:ascii="Times New Roman" w:hAnsi="Times New Roman" w:cs="Times New Roman"/>
        </w:rPr>
        <w:t>endeudamiento</w:t>
      </w:r>
      <w:r w:rsidR="00B007DB" w:rsidRPr="00FC4688">
        <w:rPr>
          <w:rFonts w:ascii="Times New Roman" w:hAnsi="Times New Roman" w:cs="Times New Roman"/>
        </w:rPr>
        <w:t xml:space="preserve"> neto (</w:t>
      </w:r>
      <w:r w:rsidR="006B4253" w:rsidRPr="00FC4688">
        <w:rPr>
          <w:rFonts w:ascii="Times New Roman" w:hAnsi="Times New Roman" w:cs="Times New Roman"/>
        </w:rPr>
        <w:t>déficit</w:t>
      </w:r>
      <w:r w:rsidR="00B007DB" w:rsidRPr="00FC4688">
        <w:rPr>
          <w:rFonts w:ascii="Times New Roman" w:hAnsi="Times New Roman" w:cs="Times New Roman"/>
        </w:rPr>
        <w:t xml:space="preserve"> fiscal) de Q</w:t>
      </w:r>
      <w:r w:rsidR="00894AE1" w:rsidRPr="00894AE1">
        <w:rPr>
          <w:rFonts w:ascii="Times New Roman" w:hAnsi="Times New Roman" w:cs="Times New Roman"/>
        </w:rPr>
        <w:t>12,665.1</w:t>
      </w:r>
      <w:r w:rsidR="00836E10">
        <w:rPr>
          <w:rFonts w:ascii="Times New Roman" w:hAnsi="Times New Roman" w:cs="Times New Roman"/>
        </w:rPr>
        <w:t xml:space="preserve"> que </w:t>
      </w:r>
      <w:r w:rsidR="00C05F8B">
        <w:rPr>
          <w:rFonts w:ascii="Times New Roman" w:hAnsi="Times New Roman" w:cs="Times New Roman"/>
        </w:rPr>
        <w:t>equivale al 1.7% del PIB</w:t>
      </w:r>
      <w:r w:rsidR="00894AE1">
        <w:rPr>
          <w:rFonts w:ascii="Times New Roman" w:hAnsi="Times New Roman" w:cs="Times New Roman"/>
        </w:rPr>
        <w:t xml:space="preserve"> </w:t>
      </w:r>
      <w:r w:rsidR="006B4253" w:rsidRPr="00FC4688">
        <w:rPr>
          <w:rFonts w:ascii="Times New Roman" w:hAnsi="Times New Roman" w:cs="Times New Roman"/>
        </w:rPr>
        <w:t xml:space="preserve">y </w:t>
      </w:r>
      <w:r w:rsidR="00E03DAD">
        <w:rPr>
          <w:rFonts w:ascii="Times New Roman" w:hAnsi="Times New Roman" w:cs="Times New Roman"/>
        </w:rPr>
        <w:t>mostró</w:t>
      </w:r>
      <w:r w:rsidR="00E03DAD" w:rsidRPr="00FC4688">
        <w:rPr>
          <w:rFonts w:ascii="Times New Roman" w:hAnsi="Times New Roman" w:cs="Times New Roman"/>
        </w:rPr>
        <w:t xml:space="preserve"> </w:t>
      </w:r>
      <w:r w:rsidR="00996091" w:rsidRPr="00FC4688">
        <w:rPr>
          <w:rFonts w:ascii="Times New Roman" w:hAnsi="Times New Roman" w:cs="Times New Roman"/>
        </w:rPr>
        <w:t>un resultado</w:t>
      </w:r>
      <w:r w:rsidR="006F0E5F" w:rsidRPr="00FC4688">
        <w:rPr>
          <w:rFonts w:ascii="Times New Roman" w:hAnsi="Times New Roman" w:cs="Times New Roman"/>
        </w:rPr>
        <w:t xml:space="preserve"> primario </w:t>
      </w:r>
      <w:r w:rsidR="00894AE1">
        <w:rPr>
          <w:rFonts w:ascii="Times New Roman" w:hAnsi="Times New Roman" w:cs="Times New Roman"/>
        </w:rPr>
        <w:t>negativo</w:t>
      </w:r>
      <w:r w:rsidR="000706ED" w:rsidRPr="00FC4688">
        <w:rPr>
          <w:rFonts w:ascii="Times New Roman" w:hAnsi="Times New Roman" w:cs="Times New Roman"/>
        </w:rPr>
        <w:t xml:space="preserve"> por </w:t>
      </w:r>
      <w:r w:rsidR="006F0E5F" w:rsidRPr="00FC4688">
        <w:rPr>
          <w:rFonts w:ascii="Times New Roman" w:hAnsi="Times New Roman" w:cs="Times New Roman"/>
        </w:rPr>
        <w:t>Q</w:t>
      </w:r>
      <w:r w:rsidR="000A4AD2">
        <w:rPr>
          <w:rFonts w:ascii="Times New Roman" w:hAnsi="Times New Roman" w:cs="Times New Roman"/>
        </w:rPr>
        <w:t>544.6</w:t>
      </w:r>
      <w:r w:rsidR="006F0E5F" w:rsidRPr="00FC4688">
        <w:rPr>
          <w:rFonts w:ascii="Times New Roman" w:hAnsi="Times New Roman" w:cs="Times New Roman"/>
        </w:rPr>
        <w:t xml:space="preserve"> millones</w:t>
      </w:r>
      <w:r w:rsidR="00C05F8B">
        <w:rPr>
          <w:rFonts w:ascii="Times New Roman" w:hAnsi="Times New Roman" w:cs="Times New Roman"/>
        </w:rPr>
        <w:t xml:space="preserve"> que se sitúa en 0.1% del PIB</w:t>
      </w:r>
      <w:r w:rsidR="00451681" w:rsidRPr="00FC4688">
        <w:rPr>
          <w:rFonts w:ascii="Times New Roman" w:hAnsi="Times New Roman" w:cs="Times New Roman"/>
        </w:rPr>
        <w:t>.</w:t>
      </w:r>
      <w:r w:rsidR="00E13EAC" w:rsidRPr="00FC4688">
        <w:rPr>
          <w:rFonts w:ascii="Times New Roman" w:hAnsi="Times New Roman" w:cs="Times New Roman"/>
        </w:rPr>
        <w:t xml:space="preserve"> </w:t>
      </w:r>
    </w:p>
    <w:p w14:paraId="653162DB" w14:textId="77777777" w:rsidR="004911A4" w:rsidRPr="00FC4688" w:rsidRDefault="004911A4">
      <w:pPr>
        <w:spacing w:after="200" w:line="276" w:lineRule="auto"/>
        <w:jc w:val="left"/>
        <w:rPr>
          <w:rFonts w:cs="Times New Roman"/>
          <w:b/>
          <w:szCs w:val="22"/>
          <w:lang w:val="es-MX"/>
        </w:rPr>
      </w:pPr>
      <w:r w:rsidRPr="00FC4688">
        <w:rPr>
          <w:rFonts w:cs="Times New Roman"/>
          <w:b/>
          <w:szCs w:val="22"/>
          <w:lang w:val="es-MX"/>
        </w:rPr>
        <w:br w:type="page"/>
      </w:r>
    </w:p>
    <w:p w14:paraId="020DDCB3" w14:textId="6E163663" w:rsidR="00264A75" w:rsidRPr="00FC4688" w:rsidRDefault="00264A75" w:rsidP="00997543">
      <w:pPr>
        <w:jc w:val="center"/>
        <w:rPr>
          <w:rFonts w:cs="Times New Roman"/>
          <w:b/>
          <w:szCs w:val="22"/>
          <w:lang w:val="es-MX"/>
        </w:rPr>
      </w:pPr>
      <w:r w:rsidRPr="00FC4688">
        <w:rPr>
          <w:rFonts w:cs="Times New Roman"/>
          <w:b/>
          <w:szCs w:val="22"/>
          <w:lang w:val="es-MX"/>
        </w:rPr>
        <w:lastRenderedPageBreak/>
        <w:t xml:space="preserve">Estado de </w:t>
      </w:r>
      <w:r w:rsidR="00697544" w:rsidRPr="00FC4688">
        <w:rPr>
          <w:rFonts w:cs="Times New Roman"/>
          <w:b/>
          <w:szCs w:val="22"/>
          <w:lang w:val="es-MX"/>
        </w:rPr>
        <w:t>O</w:t>
      </w:r>
      <w:r w:rsidRPr="00FC4688">
        <w:rPr>
          <w:rFonts w:cs="Times New Roman"/>
          <w:b/>
          <w:szCs w:val="22"/>
          <w:lang w:val="es-MX"/>
        </w:rPr>
        <w:t>peraciones</w:t>
      </w:r>
      <w:r w:rsidR="007105EE" w:rsidRPr="00FC4688">
        <w:rPr>
          <w:rFonts w:cs="Times New Roman"/>
          <w:b/>
          <w:szCs w:val="22"/>
          <w:lang w:val="es-MX"/>
        </w:rPr>
        <w:t xml:space="preserve"> </w:t>
      </w:r>
      <w:r w:rsidRPr="00FC4688">
        <w:rPr>
          <w:rFonts w:cs="Times New Roman"/>
          <w:b/>
          <w:szCs w:val="22"/>
          <w:lang w:val="es-MX"/>
        </w:rPr>
        <w:t>del Gobierno Central Presupuestario</w:t>
      </w:r>
    </w:p>
    <w:p w14:paraId="68D87BB8" w14:textId="788B618E" w:rsidR="007105EE" w:rsidRPr="00FC4688" w:rsidRDefault="007105EE" w:rsidP="00997543">
      <w:pPr>
        <w:jc w:val="center"/>
        <w:rPr>
          <w:rFonts w:cs="Times New Roman"/>
          <w:b/>
          <w:szCs w:val="22"/>
          <w:lang w:val="es-MX"/>
        </w:rPr>
      </w:pPr>
      <w:r w:rsidRPr="00FC4688">
        <w:rPr>
          <w:rFonts w:cs="Times New Roman"/>
          <w:b/>
          <w:szCs w:val="22"/>
          <w:lang w:val="es-MX"/>
        </w:rPr>
        <w:t xml:space="preserve">Cifras acumuladas a </w:t>
      </w:r>
      <w:r w:rsidR="009D416D">
        <w:rPr>
          <w:rFonts w:cs="Times New Roman"/>
          <w:b/>
          <w:szCs w:val="22"/>
          <w:lang w:val="es-MX"/>
        </w:rPr>
        <w:t>diciembre</w:t>
      </w:r>
      <w:r w:rsidR="0040363B" w:rsidRPr="00FC4688">
        <w:rPr>
          <w:rFonts w:cs="Times New Roman"/>
          <w:b/>
          <w:szCs w:val="22"/>
          <w:lang w:val="es-MX"/>
        </w:rPr>
        <w:t xml:space="preserve"> de cada año</w:t>
      </w:r>
      <w:r w:rsidRPr="00FC4688">
        <w:rPr>
          <w:rFonts w:cs="Times New Roman"/>
          <w:b/>
          <w:szCs w:val="22"/>
          <w:lang w:val="es-MX"/>
        </w:rPr>
        <w:t>*</w:t>
      </w:r>
    </w:p>
    <w:p w14:paraId="3793E3FA" w14:textId="402859EF" w:rsidR="00A366A0" w:rsidRPr="00FC4688" w:rsidRDefault="00697544" w:rsidP="00944641">
      <w:pPr>
        <w:spacing w:after="240"/>
        <w:jc w:val="center"/>
        <w:rPr>
          <w:rFonts w:cs="Times New Roman"/>
          <w:sz w:val="16"/>
          <w:szCs w:val="22"/>
          <w:lang w:val="es-MX"/>
        </w:rPr>
      </w:pPr>
      <w:r w:rsidRPr="00FC4688">
        <w:rPr>
          <w:rFonts w:cs="Times New Roman"/>
          <w:bCs/>
          <w:szCs w:val="22"/>
          <w:lang w:val="es-MX"/>
        </w:rPr>
        <w:t>En millones de Quetzales</w:t>
      </w:r>
      <w:r w:rsidR="00414C97" w:rsidRPr="00FC4688">
        <w:rPr>
          <w:rFonts w:cs="Times New Roman"/>
          <w:bCs/>
          <w:szCs w:val="22"/>
          <w:lang w:val="es-MX"/>
        </w:rPr>
        <w:t xml:space="preserve"> y</w:t>
      </w:r>
      <w:r w:rsidR="0090006B" w:rsidRPr="00FC4688">
        <w:rPr>
          <w:rFonts w:cs="Times New Roman"/>
          <w:bCs/>
          <w:szCs w:val="22"/>
          <w:lang w:val="es-MX"/>
        </w:rPr>
        <w:t xml:space="preserve"> </w:t>
      </w:r>
      <w:r w:rsidR="00414C97" w:rsidRPr="00FC4688">
        <w:rPr>
          <w:rFonts w:cs="Times New Roman"/>
          <w:bCs/>
          <w:szCs w:val="22"/>
          <w:lang w:val="es-MX"/>
        </w:rPr>
        <w:t>Porcentajes</w:t>
      </w:r>
    </w:p>
    <w:tbl>
      <w:tblPr>
        <w:tblW w:w="8212" w:type="dxa"/>
        <w:jc w:val="center"/>
        <w:tblLayout w:type="fixed"/>
        <w:tblCellMar>
          <w:left w:w="70" w:type="dxa"/>
          <w:right w:w="70" w:type="dxa"/>
        </w:tblCellMar>
        <w:tblLook w:val="04A0" w:firstRow="1" w:lastRow="0" w:firstColumn="1" w:lastColumn="0" w:noHBand="0" w:noVBand="1"/>
      </w:tblPr>
      <w:tblGrid>
        <w:gridCol w:w="3164"/>
        <w:gridCol w:w="861"/>
        <w:gridCol w:w="861"/>
        <w:gridCol w:w="861"/>
        <w:gridCol w:w="941"/>
        <w:gridCol w:w="815"/>
        <w:gridCol w:w="709"/>
      </w:tblGrid>
      <w:tr w:rsidR="00676C85" w:rsidRPr="00FC4688" w14:paraId="4E22BD21" w14:textId="5D5A4D27" w:rsidTr="00BB2F7C">
        <w:trPr>
          <w:trHeight w:val="264"/>
          <w:jc w:val="center"/>
        </w:trPr>
        <w:tc>
          <w:tcPr>
            <w:tcW w:w="3164"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8300B4C" w14:textId="77777777" w:rsidR="00676C85" w:rsidRPr="00FC4688" w:rsidRDefault="00676C85" w:rsidP="004D429B">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Descripción</w:t>
            </w:r>
          </w:p>
        </w:tc>
        <w:tc>
          <w:tcPr>
            <w:tcW w:w="1722" w:type="dxa"/>
            <w:gridSpan w:val="2"/>
            <w:tcBorders>
              <w:top w:val="single" w:sz="8" w:space="0" w:color="auto"/>
              <w:left w:val="single" w:sz="8" w:space="0" w:color="auto"/>
              <w:bottom w:val="single" w:sz="8" w:space="0" w:color="000000"/>
              <w:right w:val="single" w:sz="8" w:space="0" w:color="auto"/>
            </w:tcBorders>
            <w:shd w:val="clear" w:color="000000" w:fill="44546A"/>
            <w:vAlign w:val="center"/>
            <w:hideMark/>
          </w:tcPr>
          <w:p w14:paraId="7A1933AF" w14:textId="1047AA65" w:rsidR="00676C85" w:rsidRPr="006616A5" w:rsidRDefault="00676C85" w:rsidP="004D429B">
            <w:pPr>
              <w:jc w:val="center"/>
              <w:rPr>
                <w:rFonts w:eastAsia="Times New Roman" w:cs="Times New Roman"/>
                <w:b/>
                <w:bCs/>
                <w:color w:val="FFFFFF"/>
                <w:sz w:val="18"/>
                <w:szCs w:val="18"/>
                <w:lang w:eastAsia="es-GT"/>
              </w:rPr>
            </w:pPr>
            <w:r w:rsidRPr="006616A5">
              <w:rPr>
                <w:rFonts w:eastAsia="Times New Roman" w:cs="Times New Roman"/>
                <w:b/>
                <w:bCs/>
                <w:color w:val="FFFFFF"/>
                <w:sz w:val="18"/>
                <w:szCs w:val="18"/>
                <w:lang w:eastAsia="es-GT"/>
              </w:rPr>
              <w:t>En millones de Q</w:t>
            </w:r>
          </w:p>
        </w:tc>
        <w:tc>
          <w:tcPr>
            <w:tcW w:w="1802" w:type="dxa"/>
            <w:gridSpan w:val="2"/>
            <w:tcBorders>
              <w:top w:val="single" w:sz="8" w:space="0" w:color="auto"/>
              <w:left w:val="nil"/>
              <w:bottom w:val="single" w:sz="8" w:space="0" w:color="auto"/>
              <w:right w:val="single" w:sz="8" w:space="0" w:color="000000"/>
            </w:tcBorders>
            <w:shd w:val="clear" w:color="000000" w:fill="44546A"/>
            <w:vAlign w:val="center"/>
            <w:hideMark/>
          </w:tcPr>
          <w:p w14:paraId="33E0B23E" w14:textId="77777777" w:rsidR="00676C85" w:rsidRPr="006616A5" w:rsidRDefault="00676C85" w:rsidP="004D429B">
            <w:pPr>
              <w:jc w:val="center"/>
              <w:rPr>
                <w:rFonts w:eastAsia="Times New Roman" w:cs="Times New Roman"/>
                <w:b/>
                <w:bCs/>
                <w:color w:val="FFFFFF"/>
                <w:sz w:val="18"/>
                <w:szCs w:val="18"/>
                <w:lang w:eastAsia="es-GT"/>
              </w:rPr>
            </w:pPr>
            <w:r w:rsidRPr="006616A5">
              <w:rPr>
                <w:rFonts w:eastAsia="Times New Roman" w:cs="Times New Roman"/>
                <w:b/>
                <w:bCs/>
                <w:color w:val="FFFFFF"/>
                <w:sz w:val="18"/>
                <w:szCs w:val="18"/>
                <w:lang w:eastAsia="es-GT"/>
              </w:rPr>
              <w:t>Variación Interanual</w:t>
            </w:r>
          </w:p>
        </w:tc>
        <w:tc>
          <w:tcPr>
            <w:tcW w:w="1524" w:type="dxa"/>
            <w:gridSpan w:val="2"/>
            <w:tcBorders>
              <w:top w:val="single" w:sz="8" w:space="0" w:color="auto"/>
              <w:left w:val="nil"/>
              <w:bottom w:val="single" w:sz="8" w:space="0" w:color="auto"/>
              <w:right w:val="single" w:sz="8" w:space="0" w:color="000000"/>
            </w:tcBorders>
            <w:shd w:val="clear" w:color="000000" w:fill="44546A"/>
          </w:tcPr>
          <w:p w14:paraId="6C4EB27F" w14:textId="343DA670" w:rsidR="00676C85" w:rsidRPr="006616A5" w:rsidRDefault="006616A5" w:rsidP="004D429B">
            <w:pPr>
              <w:jc w:val="center"/>
              <w:rPr>
                <w:rFonts w:eastAsia="Times New Roman" w:cs="Times New Roman"/>
                <w:b/>
                <w:bCs/>
                <w:color w:val="FFFFFF"/>
                <w:sz w:val="18"/>
                <w:szCs w:val="18"/>
                <w:lang w:eastAsia="es-GT"/>
              </w:rPr>
            </w:pPr>
            <w:r w:rsidRPr="006616A5">
              <w:rPr>
                <w:rFonts w:eastAsia="Times New Roman" w:cs="Times New Roman"/>
                <w:b/>
                <w:bCs/>
                <w:color w:val="FFFFFF"/>
                <w:sz w:val="18"/>
                <w:szCs w:val="18"/>
                <w:lang w:eastAsia="es-GT"/>
              </w:rPr>
              <w:t>Como porcentaje del PIB</w:t>
            </w:r>
          </w:p>
        </w:tc>
      </w:tr>
      <w:tr w:rsidR="006616A5" w:rsidRPr="00FC4688" w14:paraId="52911BCD" w14:textId="3DCB36A8" w:rsidTr="00BB2F7C">
        <w:trPr>
          <w:trHeight w:val="264"/>
          <w:jc w:val="center"/>
        </w:trPr>
        <w:tc>
          <w:tcPr>
            <w:tcW w:w="3164" w:type="dxa"/>
            <w:vMerge/>
            <w:tcBorders>
              <w:top w:val="single" w:sz="8" w:space="0" w:color="auto"/>
              <w:left w:val="single" w:sz="8" w:space="0" w:color="auto"/>
              <w:bottom w:val="single" w:sz="8" w:space="0" w:color="000000"/>
              <w:right w:val="nil"/>
            </w:tcBorders>
            <w:vAlign w:val="center"/>
            <w:hideMark/>
          </w:tcPr>
          <w:p w14:paraId="25BE7534" w14:textId="77777777" w:rsidR="006616A5" w:rsidRPr="00FC4688" w:rsidRDefault="006616A5" w:rsidP="006616A5">
            <w:pPr>
              <w:jc w:val="left"/>
              <w:rPr>
                <w:rFonts w:eastAsia="Times New Roman" w:cs="Times New Roman"/>
                <w:b/>
                <w:bCs/>
                <w:color w:val="FFFFFF"/>
                <w:sz w:val="18"/>
                <w:szCs w:val="18"/>
                <w:lang w:eastAsia="es-GT"/>
              </w:rPr>
            </w:pP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16A31A0B" w14:textId="567AFAB2" w:rsidR="006616A5" w:rsidRPr="003E4789" w:rsidRDefault="006616A5" w:rsidP="005747F1">
            <w:pPr>
              <w:jc w:val="center"/>
              <w:rPr>
                <w:rFonts w:eastAsia="Times New Roman" w:cs="Times New Roman"/>
                <w:b/>
                <w:bCs/>
                <w:color w:val="FFFFFF" w:themeColor="background1"/>
                <w:sz w:val="18"/>
                <w:szCs w:val="18"/>
                <w:lang w:eastAsia="es-GT"/>
              </w:rPr>
            </w:pPr>
            <w:r w:rsidRPr="003E4789">
              <w:rPr>
                <w:rFonts w:eastAsia="Times New Roman" w:cs="Times New Roman"/>
                <w:b/>
                <w:bCs/>
                <w:color w:val="FFFFFF" w:themeColor="background1"/>
                <w:sz w:val="18"/>
                <w:szCs w:val="18"/>
                <w:lang w:eastAsia="es-GT"/>
              </w:rPr>
              <w:t>2021</w:t>
            </w: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0A2ADCC9" w14:textId="46F0525C" w:rsidR="006616A5" w:rsidRPr="003E4789" w:rsidRDefault="006616A5" w:rsidP="005747F1">
            <w:pPr>
              <w:jc w:val="center"/>
              <w:rPr>
                <w:rFonts w:eastAsia="Times New Roman" w:cs="Times New Roman"/>
                <w:b/>
                <w:bCs/>
                <w:color w:val="FFFFFF" w:themeColor="background1"/>
                <w:sz w:val="18"/>
                <w:szCs w:val="18"/>
                <w:lang w:eastAsia="es-GT"/>
              </w:rPr>
            </w:pPr>
            <w:r w:rsidRPr="003E4789">
              <w:rPr>
                <w:rFonts w:eastAsia="Times New Roman" w:cs="Times New Roman"/>
                <w:b/>
                <w:bCs/>
                <w:color w:val="FFFFFF" w:themeColor="background1"/>
                <w:sz w:val="18"/>
                <w:szCs w:val="18"/>
                <w:lang w:eastAsia="es-GT"/>
              </w:rPr>
              <w:t>2022*</w:t>
            </w:r>
          </w:p>
        </w:tc>
        <w:tc>
          <w:tcPr>
            <w:tcW w:w="861" w:type="dxa"/>
            <w:tcBorders>
              <w:top w:val="nil"/>
              <w:left w:val="nil"/>
              <w:bottom w:val="single" w:sz="8" w:space="0" w:color="auto"/>
              <w:right w:val="single" w:sz="8" w:space="0" w:color="auto"/>
            </w:tcBorders>
            <w:shd w:val="clear" w:color="auto" w:fill="808080" w:themeFill="background1" w:themeFillShade="80"/>
            <w:vAlign w:val="center"/>
            <w:hideMark/>
          </w:tcPr>
          <w:p w14:paraId="2964B4C2" w14:textId="77777777" w:rsidR="006616A5" w:rsidRPr="00FC4688" w:rsidRDefault="006616A5" w:rsidP="005747F1">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Absoluta</w:t>
            </w:r>
          </w:p>
        </w:tc>
        <w:tc>
          <w:tcPr>
            <w:tcW w:w="941" w:type="dxa"/>
            <w:tcBorders>
              <w:top w:val="nil"/>
              <w:left w:val="nil"/>
              <w:bottom w:val="single" w:sz="8" w:space="0" w:color="auto"/>
              <w:right w:val="single" w:sz="8" w:space="0" w:color="auto"/>
            </w:tcBorders>
            <w:shd w:val="clear" w:color="auto" w:fill="808080" w:themeFill="background1" w:themeFillShade="80"/>
            <w:vAlign w:val="center"/>
            <w:hideMark/>
          </w:tcPr>
          <w:p w14:paraId="177730A0" w14:textId="77777777" w:rsidR="006616A5" w:rsidRPr="00FC4688" w:rsidRDefault="006616A5" w:rsidP="005747F1">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Relativa</w:t>
            </w:r>
          </w:p>
        </w:tc>
        <w:tc>
          <w:tcPr>
            <w:tcW w:w="815" w:type="dxa"/>
            <w:tcBorders>
              <w:top w:val="nil"/>
              <w:left w:val="nil"/>
              <w:bottom w:val="single" w:sz="8" w:space="0" w:color="auto"/>
              <w:right w:val="single" w:sz="8" w:space="0" w:color="auto"/>
            </w:tcBorders>
            <w:shd w:val="clear" w:color="auto" w:fill="808080" w:themeFill="background1" w:themeFillShade="80"/>
            <w:vAlign w:val="center"/>
          </w:tcPr>
          <w:p w14:paraId="22267A06" w14:textId="197C3731" w:rsidR="006616A5" w:rsidRPr="00FC4688" w:rsidRDefault="006616A5" w:rsidP="005747F1">
            <w:pPr>
              <w:jc w:val="center"/>
              <w:rPr>
                <w:rFonts w:eastAsia="Times New Roman" w:cs="Times New Roman"/>
                <w:b/>
                <w:bCs/>
                <w:color w:val="FFFFFF"/>
                <w:sz w:val="18"/>
                <w:szCs w:val="18"/>
                <w:lang w:eastAsia="es-GT"/>
              </w:rPr>
            </w:pPr>
            <w:r w:rsidRPr="003E4789">
              <w:rPr>
                <w:rFonts w:eastAsia="Times New Roman" w:cs="Times New Roman"/>
                <w:b/>
                <w:bCs/>
                <w:color w:val="FFFFFF" w:themeColor="background1"/>
                <w:sz w:val="18"/>
                <w:szCs w:val="18"/>
                <w:lang w:eastAsia="es-GT"/>
              </w:rPr>
              <w:t>2021</w:t>
            </w:r>
          </w:p>
        </w:tc>
        <w:tc>
          <w:tcPr>
            <w:tcW w:w="709" w:type="dxa"/>
            <w:tcBorders>
              <w:top w:val="nil"/>
              <w:left w:val="nil"/>
              <w:bottom w:val="single" w:sz="8" w:space="0" w:color="auto"/>
              <w:right w:val="single" w:sz="8" w:space="0" w:color="auto"/>
            </w:tcBorders>
            <w:shd w:val="clear" w:color="auto" w:fill="808080" w:themeFill="background1" w:themeFillShade="80"/>
            <w:vAlign w:val="center"/>
          </w:tcPr>
          <w:p w14:paraId="37FCAE03" w14:textId="4D5E1077" w:rsidR="006616A5" w:rsidRPr="00FC4688" w:rsidRDefault="006616A5" w:rsidP="005747F1">
            <w:pPr>
              <w:jc w:val="center"/>
              <w:rPr>
                <w:rFonts w:eastAsia="Times New Roman" w:cs="Times New Roman"/>
                <w:b/>
                <w:bCs/>
                <w:color w:val="FFFFFF"/>
                <w:sz w:val="18"/>
                <w:szCs w:val="18"/>
                <w:lang w:eastAsia="es-GT"/>
              </w:rPr>
            </w:pPr>
            <w:r w:rsidRPr="003E4789">
              <w:rPr>
                <w:rFonts w:eastAsia="Times New Roman" w:cs="Times New Roman"/>
                <w:b/>
                <w:bCs/>
                <w:color w:val="FFFFFF" w:themeColor="background1"/>
                <w:sz w:val="18"/>
                <w:szCs w:val="18"/>
                <w:lang w:eastAsia="es-GT"/>
              </w:rPr>
              <w:t>2022*</w:t>
            </w:r>
          </w:p>
        </w:tc>
      </w:tr>
      <w:tr w:rsidR="006616A5" w:rsidRPr="00FC4688" w14:paraId="331C0894" w14:textId="3915E4C5" w:rsidTr="00BB2F7C">
        <w:trPr>
          <w:trHeight w:val="252"/>
          <w:jc w:val="center"/>
        </w:trPr>
        <w:tc>
          <w:tcPr>
            <w:tcW w:w="3164" w:type="dxa"/>
            <w:tcBorders>
              <w:top w:val="nil"/>
              <w:left w:val="nil"/>
              <w:bottom w:val="nil"/>
              <w:right w:val="nil"/>
            </w:tcBorders>
            <w:shd w:val="clear" w:color="auto" w:fill="auto"/>
            <w:noWrap/>
            <w:vAlign w:val="center"/>
            <w:hideMark/>
          </w:tcPr>
          <w:p w14:paraId="23E471B9" w14:textId="77777777" w:rsidR="006616A5" w:rsidRPr="00312323" w:rsidRDefault="006616A5" w:rsidP="006616A5">
            <w:pPr>
              <w:rPr>
                <w:rFonts w:eastAsia="Times New Roman" w:cs="Times New Roman"/>
                <w:b/>
                <w:bCs/>
                <w:color w:val="000000"/>
                <w:sz w:val="16"/>
                <w:szCs w:val="16"/>
                <w:lang w:eastAsia="es-GT"/>
              </w:rPr>
            </w:pPr>
            <w:r w:rsidRPr="00312323">
              <w:rPr>
                <w:rFonts w:eastAsia="Times New Roman" w:cs="Times New Roman"/>
                <w:b/>
                <w:bCs/>
                <w:color w:val="000000"/>
                <w:sz w:val="16"/>
                <w:szCs w:val="16"/>
                <w:lang w:eastAsia="es-GT"/>
              </w:rPr>
              <w:t>INGRESO</w:t>
            </w:r>
          </w:p>
        </w:tc>
        <w:tc>
          <w:tcPr>
            <w:tcW w:w="861" w:type="dxa"/>
            <w:tcBorders>
              <w:top w:val="nil"/>
              <w:left w:val="nil"/>
              <w:bottom w:val="nil"/>
              <w:right w:val="nil"/>
            </w:tcBorders>
            <w:shd w:val="clear" w:color="auto" w:fill="auto"/>
            <w:noWrap/>
            <w:hideMark/>
          </w:tcPr>
          <w:p w14:paraId="0DEB8F6A" w14:textId="438491FB"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84,360.5</w:t>
            </w:r>
          </w:p>
        </w:tc>
        <w:tc>
          <w:tcPr>
            <w:tcW w:w="861" w:type="dxa"/>
            <w:tcBorders>
              <w:top w:val="nil"/>
              <w:left w:val="nil"/>
              <w:bottom w:val="nil"/>
              <w:right w:val="nil"/>
            </w:tcBorders>
            <w:shd w:val="clear" w:color="auto" w:fill="auto"/>
            <w:noWrap/>
            <w:hideMark/>
          </w:tcPr>
          <w:p w14:paraId="20E99ABE" w14:textId="09F959D3"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95,256.4</w:t>
            </w:r>
          </w:p>
        </w:tc>
        <w:tc>
          <w:tcPr>
            <w:tcW w:w="861" w:type="dxa"/>
            <w:tcBorders>
              <w:top w:val="nil"/>
              <w:left w:val="dotDash" w:sz="4" w:space="0" w:color="auto"/>
              <w:bottom w:val="nil"/>
              <w:right w:val="nil"/>
            </w:tcBorders>
            <w:shd w:val="clear" w:color="auto" w:fill="auto"/>
            <w:noWrap/>
            <w:hideMark/>
          </w:tcPr>
          <w:p w14:paraId="3CE23E92" w14:textId="5E77C9D1"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10,895.9</w:t>
            </w:r>
          </w:p>
        </w:tc>
        <w:tc>
          <w:tcPr>
            <w:tcW w:w="941" w:type="dxa"/>
            <w:tcBorders>
              <w:top w:val="nil"/>
              <w:left w:val="nil"/>
              <w:bottom w:val="nil"/>
              <w:right w:val="nil"/>
            </w:tcBorders>
            <w:shd w:val="clear" w:color="auto" w:fill="auto"/>
            <w:noWrap/>
            <w:hideMark/>
          </w:tcPr>
          <w:p w14:paraId="4E872ED2" w14:textId="1E2E7CAB"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12.9</w:t>
            </w:r>
          </w:p>
        </w:tc>
        <w:tc>
          <w:tcPr>
            <w:tcW w:w="815" w:type="dxa"/>
            <w:tcBorders>
              <w:top w:val="nil"/>
              <w:left w:val="dotDash" w:sz="4" w:space="0" w:color="auto"/>
              <w:bottom w:val="nil"/>
              <w:right w:val="nil"/>
            </w:tcBorders>
            <w:shd w:val="clear" w:color="auto" w:fill="auto"/>
            <w:vAlign w:val="center"/>
          </w:tcPr>
          <w:p w14:paraId="333DF719" w14:textId="40CCA7FF" w:rsidR="006616A5" w:rsidRPr="002B75BA" w:rsidRDefault="006616A5" w:rsidP="002B75BA">
            <w:pPr>
              <w:jc w:val="center"/>
              <w:rPr>
                <w:b/>
                <w:bCs/>
                <w:sz w:val="16"/>
                <w:szCs w:val="16"/>
              </w:rPr>
            </w:pPr>
            <w:r w:rsidRPr="002B75BA">
              <w:rPr>
                <w:b/>
                <w:bCs/>
                <w:color w:val="000000"/>
                <w:sz w:val="16"/>
                <w:szCs w:val="16"/>
              </w:rPr>
              <w:t>12.7</w:t>
            </w:r>
          </w:p>
        </w:tc>
        <w:tc>
          <w:tcPr>
            <w:tcW w:w="709" w:type="dxa"/>
            <w:tcBorders>
              <w:top w:val="nil"/>
              <w:left w:val="nil"/>
              <w:bottom w:val="nil"/>
              <w:right w:val="nil"/>
            </w:tcBorders>
            <w:shd w:val="clear" w:color="auto" w:fill="auto"/>
            <w:vAlign w:val="center"/>
          </w:tcPr>
          <w:p w14:paraId="17F624A6" w14:textId="0655B0FD" w:rsidR="006616A5" w:rsidRPr="002B75BA" w:rsidRDefault="006616A5" w:rsidP="002B75BA">
            <w:pPr>
              <w:jc w:val="center"/>
              <w:rPr>
                <w:b/>
                <w:bCs/>
                <w:sz w:val="16"/>
                <w:szCs w:val="16"/>
              </w:rPr>
            </w:pPr>
            <w:r w:rsidRPr="002B75BA">
              <w:rPr>
                <w:b/>
                <w:bCs/>
                <w:color w:val="000000"/>
                <w:sz w:val="16"/>
                <w:szCs w:val="16"/>
              </w:rPr>
              <w:t>13.0</w:t>
            </w:r>
          </w:p>
        </w:tc>
      </w:tr>
      <w:tr w:rsidR="006616A5" w:rsidRPr="00FC4688" w14:paraId="3458F854" w14:textId="5B23C4AF" w:rsidTr="00BB2F7C">
        <w:trPr>
          <w:trHeight w:val="252"/>
          <w:jc w:val="center"/>
        </w:trPr>
        <w:tc>
          <w:tcPr>
            <w:tcW w:w="3164" w:type="dxa"/>
            <w:tcBorders>
              <w:top w:val="nil"/>
              <w:left w:val="nil"/>
              <w:bottom w:val="nil"/>
              <w:right w:val="nil"/>
            </w:tcBorders>
            <w:shd w:val="clear" w:color="auto" w:fill="auto"/>
            <w:noWrap/>
            <w:vAlign w:val="center"/>
            <w:hideMark/>
          </w:tcPr>
          <w:p w14:paraId="5581EAE2"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Impuestos</w:t>
            </w:r>
          </w:p>
        </w:tc>
        <w:tc>
          <w:tcPr>
            <w:tcW w:w="861" w:type="dxa"/>
            <w:tcBorders>
              <w:top w:val="nil"/>
              <w:left w:val="nil"/>
              <w:bottom w:val="nil"/>
              <w:right w:val="nil"/>
            </w:tcBorders>
            <w:shd w:val="clear" w:color="auto" w:fill="auto"/>
            <w:noWrap/>
            <w:hideMark/>
          </w:tcPr>
          <w:p w14:paraId="741CC720" w14:textId="2FE90834" w:rsidR="006616A5" w:rsidRPr="00312323" w:rsidRDefault="006616A5" w:rsidP="006616A5">
            <w:pPr>
              <w:jc w:val="center"/>
              <w:rPr>
                <w:rFonts w:eastAsia="Times New Roman" w:cs="Times New Roman"/>
                <w:color w:val="000000"/>
                <w:sz w:val="16"/>
                <w:szCs w:val="16"/>
                <w:lang w:eastAsia="es-GT"/>
              </w:rPr>
            </w:pPr>
            <w:r w:rsidRPr="00312323">
              <w:rPr>
                <w:sz w:val="16"/>
                <w:szCs w:val="16"/>
              </w:rPr>
              <w:t>77,292.1</w:t>
            </w:r>
          </w:p>
        </w:tc>
        <w:tc>
          <w:tcPr>
            <w:tcW w:w="861" w:type="dxa"/>
            <w:tcBorders>
              <w:top w:val="nil"/>
              <w:left w:val="nil"/>
              <w:bottom w:val="nil"/>
              <w:right w:val="nil"/>
            </w:tcBorders>
            <w:shd w:val="clear" w:color="auto" w:fill="auto"/>
            <w:noWrap/>
            <w:hideMark/>
          </w:tcPr>
          <w:p w14:paraId="0F100D77" w14:textId="22783843" w:rsidR="006616A5" w:rsidRPr="00312323" w:rsidRDefault="006616A5" w:rsidP="006616A5">
            <w:pPr>
              <w:jc w:val="center"/>
              <w:rPr>
                <w:rFonts w:eastAsia="Times New Roman" w:cs="Times New Roman"/>
                <w:color w:val="000000"/>
                <w:sz w:val="16"/>
                <w:szCs w:val="16"/>
                <w:lang w:eastAsia="es-GT"/>
              </w:rPr>
            </w:pPr>
            <w:r w:rsidRPr="00312323">
              <w:rPr>
                <w:sz w:val="16"/>
                <w:szCs w:val="16"/>
              </w:rPr>
              <w:t>87,579.0</w:t>
            </w:r>
          </w:p>
        </w:tc>
        <w:tc>
          <w:tcPr>
            <w:tcW w:w="861" w:type="dxa"/>
            <w:tcBorders>
              <w:top w:val="nil"/>
              <w:left w:val="dotDash" w:sz="4" w:space="0" w:color="auto"/>
              <w:bottom w:val="nil"/>
              <w:right w:val="nil"/>
            </w:tcBorders>
            <w:shd w:val="clear" w:color="auto" w:fill="auto"/>
            <w:noWrap/>
            <w:hideMark/>
          </w:tcPr>
          <w:p w14:paraId="75E14500" w14:textId="7123CBF3" w:rsidR="006616A5" w:rsidRPr="00312323" w:rsidRDefault="006616A5" w:rsidP="006616A5">
            <w:pPr>
              <w:jc w:val="center"/>
              <w:rPr>
                <w:rFonts w:eastAsia="Times New Roman" w:cs="Times New Roman"/>
                <w:color w:val="000000"/>
                <w:sz w:val="16"/>
                <w:szCs w:val="16"/>
                <w:lang w:eastAsia="es-GT"/>
              </w:rPr>
            </w:pPr>
            <w:r w:rsidRPr="00312323">
              <w:rPr>
                <w:sz w:val="16"/>
                <w:szCs w:val="16"/>
              </w:rPr>
              <w:t>10,286.9</w:t>
            </w:r>
          </w:p>
        </w:tc>
        <w:tc>
          <w:tcPr>
            <w:tcW w:w="941" w:type="dxa"/>
            <w:tcBorders>
              <w:top w:val="nil"/>
              <w:left w:val="nil"/>
              <w:bottom w:val="nil"/>
              <w:right w:val="nil"/>
            </w:tcBorders>
            <w:shd w:val="clear" w:color="auto" w:fill="auto"/>
            <w:noWrap/>
            <w:hideMark/>
          </w:tcPr>
          <w:p w14:paraId="5E2108BC" w14:textId="086C2993" w:rsidR="006616A5" w:rsidRPr="00312323" w:rsidRDefault="006616A5" w:rsidP="006616A5">
            <w:pPr>
              <w:jc w:val="center"/>
              <w:rPr>
                <w:rFonts w:eastAsia="Times New Roman" w:cs="Times New Roman"/>
                <w:color w:val="000000"/>
                <w:sz w:val="16"/>
                <w:szCs w:val="16"/>
                <w:lang w:eastAsia="es-GT"/>
              </w:rPr>
            </w:pPr>
            <w:r w:rsidRPr="00312323">
              <w:rPr>
                <w:sz w:val="16"/>
                <w:szCs w:val="16"/>
              </w:rPr>
              <w:t>13.3</w:t>
            </w:r>
          </w:p>
        </w:tc>
        <w:tc>
          <w:tcPr>
            <w:tcW w:w="815" w:type="dxa"/>
            <w:tcBorders>
              <w:top w:val="nil"/>
              <w:left w:val="dotDash" w:sz="4" w:space="0" w:color="auto"/>
              <w:bottom w:val="nil"/>
              <w:right w:val="nil"/>
            </w:tcBorders>
            <w:shd w:val="clear" w:color="auto" w:fill="auto"/>
            <w:vAlign w:val="center"/>
          </w:tcPr>
          <w:p w14:paraId="1DF967BA" w14:textId="20739B1A" w:rsidR="006616A5" w:rsidRPr="002B75BA" w:rsidRDefault="006616A5" w:rsidP="002B75BA">
            <w:pPr>
              <w:jc w:val="center"/>
              <w:rPr>
                <w:sz w:val="16"/>
                <w:szCs w:val="16"/>
              </w:rPr>
            </w:pPr>
            <w:r w:rsidRPr="002B75BA">
              <w:rPr>
                <w:color w:val="000000"/>
                <w:sz w:val="16"/>
                <w:szCs w:val="16"/>
              </w:rPr>
              <w:t>11.6</w:t>
            </w:r>
          </w:p>
        </w:tc>
        <w:tc>
          <w:tcPr>
            <w:tcW w:w="709" w:type="dxa"/>
            <w:tcBorders>
              <w:top w:val="nil"/>
              <w:left w:val="nil"/>
              <w:bottom w:val="nil"/>
              <w:right w:val="nil"/>
            </w:tcBorders>
            <w:shd w:val="clear" w:color="auto" w:fill="auto"/>
            <w:vAlign w:val="center"/>
          </w:tcPr>
          <w:p w14:paraId="063D62FE" w14:textId="0E11E8F9" w:rsidR="006616A5" w:rsidRPr="002B75BA" w:rsidRDefault="006616A5" w:rsidP="002B75BA">
            <w:pPr>
              <w:jc w:val="center"/>
              <w:rPr>
                <w:sz w:val="16"/>
                <w:szCs w:val="16"/>
              </w:rPr>
            </w:pPr>
            <w:r w:rsidRPr="002B75BA">
              <w:rPr>
                <w:color w:val="000000"/>
                <w:sz w:val="16"/>
                <w:szCs w:val="16"/>
              </w:rPr>
              <w:t>11.9</w:t>
            </w:r>
          </w:p>
        </w:tc>
      </w:tr>
      <w:tr w:rsidR="006616A5" w:rsidRPr="00FC4688" w14:paraId="0933DA23" w14:textId="673BBB5D" w:rsidTr="00BB2F7C">
        <w:trPr>
          <w:trHeight w:val="252"/>
          <w:jc w:val="center"/>
        </w:trPr>
        <w:tc>
          <w:tcPr>
            <w:tcW w:w="3164" w:type="dxa"/>
            <w:tcBorders>
              <w:top w:val="nil"/>
              <w:left w:val="nil"/>
              <w:bottom w:val="nil"/>
              <w:right w:val="nil"/>
            </w:tcBorders>
            <w:shd w:val="clear" w:color="auto" w:fill="auto"/>
            <w:noWrap/>
            <w:vAlign w:val="center"/>
            <w:hideMark/>
          </w:tcPr>
          <w:p w14:paraId="543B74CC"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Contribuciones sociales </w:t>
            </w:r>
          </w:p>
        </w:tc>
        <w:tc>
          <w:tcPr>
            <w:tcW w:w="861" w:type="dxa"/>
            <w:tcBorders>
              <w:top w:val="nil"/>
              <w:left w:val="nil"/>
              <w:bottom w:val="nil"/>
              <w:right w:val="nil"/>
            </w:tcBorders>
            <w:shd w:val="clear" w:color="auto" w:fill="auto"/>
            <w:noWrap/>
            <w:hideMark/>
          </w:tcPr>
          <w:p w14:paraId="07FC9E7D" w14:textId="2A578668" w:rsidR="006616A5" w:rsidRPr="00312323" w:rsidRDefault="006616A5" w:rsidP="006616A5">
            <w:pPr>
              <w:jc w:val="center"/>
              <w:rPr>
                <w:rFonts w:eastAsia="Times New Roman" w:cs="Times New Roman"/>
                <w:color w:val="000000"/>
                <w:sz w:val="16"/>
                <w:szCs w:val="16"/>
                <w:lang w:eastAsia="es-GT"/>
              </w:rPr>
            </w:pPr>
            <w:r w:rsidRPr="00312323">
              <w:rPr>
                <w:sz w:val="16"/>
                <w:szCs w:val="16"/>
              </w:rPr>
              <w:t>5,007.3</w:t>
            </w:r>
          </w:p>
        </w:tc>
        <w:tc>
          <w:tcPr>
            <w:tcW w:w="861" w:type="dxa"/>
            <w:tcBorders>
              <w:top w:val="nil"/>
              <w:left w:val="nil"/>
              <w:bottom w:val="nil"/>
              <w:right w:val="nil"/>
            </w:tcBorders>
            <w:shd w:val="clear" w:color="auto" w:fill="auto"/>
            <w:noWrap/>
            <w:hideMark/>
          </w:tcPr>
          <w:p w14:paraId="0158D5DD" w14:textId="012F2A3E" w:rsidR="006616A5" w:rsidRPr="00312323" w:rsidRDefault="006616A5" w:rsidP="006616A5">
            <w:pPr>
              <w:jc w:val="center"/>
              <w:rPr>
                <w:rFonts w:eastAsia="Times New Roman" w:cs="Times New Roman"/>
                <w:color w:val="000000"/>
                <w:sz w:val="16"/>
                <w:szCs w:val="16"/>
                <w:lang w:eastAsia="es-GT"/>
              </w:rPr>
            </w:pPr>
            <w:r w:rsidRPr="00312323">
              <w:rPr>
                <w:sz w:val="16"/>
                <w:szCs w:val="16"/>
              </w:rPr>
              <w:t>5,181.1</w:t>
            </w:r>
          </w:p>
        </w:tc>
        <w:tc>
          <w:tcPr>
            <w:tcW w:w="861" w:type="dxa"/>
            <w:tcBorders>
              <w:top w:val="nil"/>
              <w:left w:val="dotDash" w:sz="4" w:space="0" w:color="auto"/>
              <w:bottom w:val="nil"/>
              <w:right w:val="nil"/>
            </w:tcBorders>
            <w:shd w:val="clear" w:color="auto" w:fill="auto"/>
            <w:noWrap/>
            <w:hideMark/>
          </w:tcPr>
          <w:p w14:paraId="48113875" w14:textId="4C468BFB" w:rsidR="006616A5" w:rsidRPr="00312323" w:rsidRDefault="006616A5" w:rsidP="006616A5">
            <w:pPr>
              <w:jc w:val="center"/>
              <w:rPr>
                <w:rFonts w:eastAsia="Times New Roman" w:cs="Times New Roman"/>
                <w:color w:val="000000"/>
                <w:sz w:val="16"/>
                <w:szCs w:val="16"/>
                <w:lang w:eastAsia="es-GT"/>
              </w:rPr>
            </w:pPr>
            <w:r w:rsidRPr="00312323">
              <w:rPr>
                <w:sz w:val="16"/>
                <w:szCs w:val="16"/>
              </w:rPr>
              <w:t>173.8</w:t>
            </w:r>
          </w:p>
        </w:tc>
        <w:tc>
          <w:tcPr>
            <w:tcW w:w="941" w:type="dxa"/>
            <w:tcBorders>
              <w:top w:val="nil"/>
              <w:left w:val="nil"/>
              <w:bottom w:val="nil"/>
              <w:right w:val="nil"/>
            </w:tcBorders>
            <w:shd w:val="clear" w:color="auto" w:fill="auto"/>
            <w:noWrap/>
            <w:hideMark/>
          </w:tcPr>
          <w:p w14:paraId="57AFAAAF" w14:textId="2A4980B6" w:rsidR="006616A5" w:rsidRPr="00312323" w:rsidRDefault="006616A5" w:rsidP="006616A5">
            <w:pPr>
              <w:jc w:val="center"/>
              <w:rPr>
                <w:rFonts w:eastAsia="Times New Roman" w:cs="Times New Roman"/>
                <w:color w:val="000000"/>
                <w:sz w:val="16"/>
                <w:szCs w:val="16"/>
                <w:lang w:eastAsia="es-GT"/>
              </w:rPr>
            </w:pPr>
            <w:r w:rsidRPr="00312323">
              <w:rPr>
                <w:sz w:val="16"/>
                <w:szCs w:val="16"/>
              </w:rPr>
              <w:t>3.5</w:t>
            </w:r>
          </w:p>
        </w:tc>
        <w:tc>
          <w:tcPr>
            <w:tcW w:w="815" w:type="dxa"/>
            <w:tcBorders>
              <w:top w:val="nil"/>
              <w:left w:val="dotDash" w:sz="4" w:space="0" w:color="auto"/>
              <w:bottom w:val="nil"/>
              <w:right w:val="nil"/>
            </w:tcBorders>
            <w:shd w:val="clear" w:color="auto" w:fill="auto"/>
            <w:vAlign w:val="center"/>
          </w:tcPr>
          <w:p w14:paraId="2570428A" w14:textId="60235898" w:rsidR="006616A5" w:rsidRPr="002B75BA" w:rsidRDefault="006616A5" w:rsidP="002B75BA">
            <w:pPr>
              <w:jc w:val="center"/>
              <w:rPr>
                <w:sz w:val="16"/>
                <w:szCs w:val="16"/>
              </w:rPr>
            </w:pPr>
            <w:r w:rsidRPr="002B75BA">
              <w:rPr>
                <w:color w:val="000000"/>
                <w:sz w:val="16"/>
                <w:szCs w:val="16"/>
              </w:rPr>
              <w:t>0.8</w:t>
            </w:r>
          </w:p>
        </w:tc>
        <w:tc>
          <w:tcPr>
            <w:tcW w:w="709" w:type="dxa"/>
            <w:tcBorders>
              <w:top w:val="nil"/>
              <w:left w:val="nil"/>
              <w:bottom w:val="nil"/>
              <w:right w:val="nil"/>
            </w:tcBorders>
            <w:shd w:val="clear" w:color="auto" w:fill="auto"/>
            <w:vAlign w:val="center"/>
          </w:tcPr>
          <w:p w14:paraId="798FB9E5" w14:textId="470AABA4" w:rsidR="006616A5" w:rsidRPr="002B75BA" w:rsidRDefault="006616A5" w:rsidP="002B75BA">
            <w:pPr>
              <w:jc w:val="center"/>
              <w:rPr>
                <w:sz w:val="16"/>
                <w:szCs w:val="16"/>
              </w:rPr>
            </w:pPr>
            <w:r w:rsidRPr="002B75BA">
              <w:rPr>
                <w:color w:val="000000"/>
                <w:sz w:val="16"/>
                <w:szCs w:val="16"/>
              </w:rPr>
              <w:t>0.7</w:t>
            </w:r>
          </w:p>
        </w:tc>
      </w:tr>
      <w:tr w:rsidR="006616A5" w:rsidRPr="00FC4688" w14:paraId="51764967" w14:textId="622D0A0B" w:rsidTr="00BB2F7C">
        <w:trPr>
          <w:trHeight w:val="252"/>
          <w:jc w:val="center"/>
        </w:trPr>
        <w:tc>
          <w:tcPr>
            <w:tcW w:w="3164" w:type="dxa"/>
            <w:tcBorders>
              <w:top w:val="nil"/>
              <w:left w:val="nil"/>
              <w:bottom w:val="nil"/>
              <w:right w:val="nil"/>
            </w:tcBorders>
            <w:shd w:val="clear" w:color="auto" w:fill="auto"/>
            <w:noWrap/>
            <w:vAlign w:val="center"/>
            <w:hideMark/>
          </w:tcPr>
          <w:p w14:paraId="25442D09"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Donaciones</w:t>
            </w:r>
          </w:p>
        </w:tc>
        <w:tc>
          <w:tcPr>
            <w:tcW w:w="861" w:type="dxa"/>
            <w:tcBorders>
              <w:top w:val="nil"/>
              <w:left w:val="nil"/>
              <w:bottom w:val="nil"/>
              <w:right w:val="nil"/>
            </w:tcBorders>
            <w:shd w:val="clear" w:color="auto" w:fill="auto"/>
            <w:noWrap/>
            <w:hideMark/>
          </w:tcPr>
          <w:p w14:paraId="43806E36" w14:textId="5FF400F5" w:rsidR="006616A5" w:rsidRPr="00312323" w:rsidRDefault="006616A5" w:rsidP="006616A5">
            <w:pPr>
              <w:jc w:val="center"/>
              <w:rPr>
                <w:rFonts w:eastAsia="Times New Roman" w:cs="Times New Roman"/>
                <w:color w:val="000000"/>
                <w:sz w:val="16"/>
                <w:szCs w:val="16"/>
                <w:lang w:eastAsia="es-GT"/>
              </w:rPr>
            </w:pPr>
            <w:r w:rsidRPr="00312323">
              <w:rPr>
                <w:sz w:val="16"/>
                <w:szCs w:val="16"/>
              </w:rPr>
              <w:t>184.9</w:t>
            </w:r>
          </w:p>
        </w:tc>
        <w:tc>
          <w:tcPr>
            <w:tcW w:w="861" w:type="dxa"/>
            <w:tcBorders>
              <w:top w:val="nil"/>
              <w:left w:val="nil"/>
              <w:bottom w:val="nil"/>
              <w:right w:val="nil"/>
            </w:tcBorders>
            <w:shd w:val="clear" w:color="auto" w:fill="auto"/>
            <w:noWrap/>
            <w:hideMark/>
          </w:tcPr>
          <w:p w14:paraId="3110F372" w14:textId="538CAFD8" w:rsidR="006616A5" w:rsidRPr="00312323" w:rsidRDefault="006616A5" w:rsidP="006616A5">
            <w:pPr>
              <w:jc w:val="center"/>
              <w:rPr>
                <w:rFonts w:eastAsia="Times New Roman" w:cs="Times New Roman"/>
                <w:color w:val="000000"/>
                <w:sz w:val="16"/>
                <w:szCs w:val="16"/>
                <w:lang w:eastAsia="es-GT"/>
              </w:rPr>
            </w:pPr>
            <w:r w:rsidRPr="00312323">
              <w:rPr>
                <w:sz w:val="16"/>
                <w:szCs w:val="16"/>
              </w:rPr>
              <w:t>114.9</w:t>
            </w:r>
          </w:p>
        </w:tc>
        <w:tc>
          <w:tcPr>
            <w:tcW w:w="861" w:type="dxa"/>
            <w:tcBorders>
              <w:top w:val="nil"/>
              <w:left w:val="dotDash" w:sz="4" w:space="0" w:color="auto"/>
              <w:bottom w:val="nil"/>
              <w:right w:val="nil"/>
            </w:tcBorders>
            <w:shd w:val="clear" w:color="auto" w:fill="auto"/>
            <w:noWrap/>
            <w:hideMark/>
          </w:tcPr>
          <w:p w14:paraId="7258307B" w14:textId="3B19495E" w:rsidR="006616A5" w:rsidRPr="00312323" w:rsidRDefault="006616A5" w:rsidP="006616A5">
            <w:pPr>
              <w:jc w:val="center"/>
              <w:rPr>
                <w:rFonts w:eastAsia="Times New Roman" w:cs="Times New Roman"/>
                <w:color w:val="000000"/>
                <w:sz w:val="16"/>
                <w:szCs w:val="16"/>
                <w:lang w:eastAsia="es-GT"/>
              </w:rPr>
            </w:pPr>
            <w:r w:rsidRPr="00312323">
              <w:rPr>
                <w:sz w:val="16"/>
                <w:szCs w:val="16"/>
              </w:rPr>
              <w:t>-70.0</w:t>
            </w:r>
          </w:p>
        </w:tc>
        <w:tc>
          <w:tcPr>
            <w:tcW w:w="941" w:type="dxa"/>
            <w:tcBorders>
              <w:top w:val="nil"/>
              <w:left w:val="nil"/>
              <w:bottom w:val="nil"/>
              <w:right w:val="nil"/>
            </w:tcBorders>
            <w:shd w:val="clear" w:color="auto" w:fill="auto"/>
            <w:noWrap/>
            <w:hideMark/>
          </w:tcPr>
          <w:p w14:paraId="3C48D73E" w14:textId="7C969B2E" w:rsidR="006616A5" w:rsidRPr="00312323" w:rsidRDefault="006616A5" w:rsidP="006616A5">
            <w:pPr>
              <w:jc w:val="center"/>
              <w:rPr>
                <w:rFonts w:eastAsia="Times New Roman" w:cs="Times New Roman"/>
                <w:color w:val="000000"/>
                <w:sz w:val="16"/>
                <w:szCs w:val="16"/>
                <w:lang w:eastAsia="es-GT"/>
              </w:rPr>
            </w:pPr>
            <w:r w:rsidRPr="00312323">
              <w:rPr>
                <w:sz w:val="16"/>
                <w:szCs w:val="16"/>
              </w:rPr>
              <w:t>-37.9</w:t>
            </w:r>
          </w:p>
        </w:tc>
        <w:tc>
          <w:tcPr>
            <w:tcW w:w="815" w:type="dxa"/>
            <w:tcBorders>
              <w:top w:val="nil"/>
              <w:left w:val="dotDash" w:sz="4" w:space="0" w:color="auto"/>
              <w:bottom w:val="nil"/>
              <w:right w:val="nil"/>
            </w:tcBorders>
            <w:shd w:val="clear" w:color="auto" w:fill="auto"/>
            <w:vAlign w:val="center"/>
          </w:tcPr>
          <w:p w14:paraId="55C58FDC" w14:textId="7F67860B" w:rsidR="006616A5" w:rsidRPr="002B75BA" w:rsidRDefault="006616A5" w:rsidP="002B75BA">
            <w:pPr>
              <w:jc w:val="center"/>
              <w:rPr>
                <w:sz w:val="16"/>
                <w:szCs w:val="16"/>
              </w:rPr>
            </w:pPr>
            <w:r w:rsidRPr="002B75BA">
              <w:rPr>
                <w:color w:val="000000"/>
                <w:sz w:val="16"/>
                <w:szCs w:val="16"/>
              </w:rPr>
              <w:t>0.0</w:t>
            </w:r>
          </w:p>
        </w:tc>
        <w:tc>
          <w:tcPr>
            <w:tcW w:w="709" w:type="dxa"/>
            <w:tcBorders>
              <w:top w:val="nil"/>
              <w:left w:val="nil"/>
              <w:bottom w:val="nil"/>
              <w:right w:val="nil"/>
            </w:tcBorders>
            <w:shd w:val="clear" w:color="auto" w:fill="auto"/>
            <w:vAlign w:val="center"/>
          </w:tcPr>
          <w:p w14:paraId="74E7207C" w14:textId="418E6189" w:rsidR="006616A5" w:rsidRPr="002B75BA" w:rsidRDefault="006616A5" w:rsidP="002B75BA">
            <w:pPr>
              <w:jc w:val="center"/>
              <w:rPr>
                <w:sz w:val="16"/>
                <w:szCs w:val="16"/>
              </w:rPr>
            </w:pPr>
            <w:r w:rsidRPr="002B75BA">
              <w:rPr>
                <w:color w:val="000000"/>
                <w:sz w:val="16"/>
                <w:szCs w:val="16"/>
              </w:rPr>
              <w:t>0.0</w:t>
            </w:r>
          </w:p>
        </w:tc>
      </w:tr>
      <w:tr w:rsidR="006616A5" w:rsidRPr="00FC4688" w14:paraId="28085D07" w14:textId="61247121" w:rsidTr="00BB2F7C">
        <w:trPr>
          <w:trHeight w:val="252"/>
          <w:jc w:val="center"/>
        </w:trPr>
        <w:tc>
          <w:tcPr>
            <w:tcW w:w="3164" w:type="dxa"/>
            <w:tcBorders>
              <w:top w:val="nil"/>
              <w:left w:val="nil"/>
              <w:bottom w:val="nil"/>
              <w:right w:val="nil"/>
            </w:tcBorders>
            <w:shd w:val="clear" w:color="auto" w:fill="auto"/>
            <w:noWrap/>
            <w:vAlign w:val="center"/>
            <w:hideMark/>
          </w:tcPr>
          <w:p w14:paraId="41EAD321"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Otros ingresos </w:t>
            </w:r>
          </w:p>
        </w:tc>
        <w:tc>
          <w:tcPr>
            <w:tcW w:w="861" w:type="dxa"/>
            <w:tcBorders>
              <w:top w:val="nil"/>
              <w:left w:val="nil"/>
              <w:bottom w:val="nil"/>
              <w:right w:val="nil"/>
            </w:tcBorders>
            <w:shd w:val="clear" w:color="auto" w:fill="auto"/>
            <w:noWrap/>
            <w:hideMark/>
          </w:tcPr>
          <w:p w14:paraId="68B2633D" w14:textId="0EDED384" w:rsidR="006616A5" w:rsidRPr="00312323" w:rsidRDefault="006616A5" w:rsidP="006616A5">
            <w:pPr>
              <w:jc w:val="center"/>
              <w:rPr>
                <w:rFonts w:eastAsia="Times New Roman" w:cs="Times New Roman"/>
                <w:color w:val="000000"/>
                <w:sz w:val="16"/>
                <w:szCs w:val="16"/>
                <w:lang w:eastAsia="es-GT"/>
              </w:rPr>
            </w:pPr>
            <w:r w:rsidRPr="00312323">
              <w:rPr>
                <w:sz w:val="16"/>
                <w:szCs w:val="16"/>
              </w:rPr>
              <w:t>1,876.3</w:t>
            </w:r>
          </w:p>
        </w:tc>
        <w:tc>
          <w:tcPr>
            <w:tcW w:w="861" w:type="dxa"/>
            <w:tcBorders>
              <w:top w:val="nil"/>
              <w:left w:val="nil"/>
              <w:bottom w:val="nil"/>
              <w:right w:val="nil"/>
            </w:tcBorders>
            <w:shd w:val="clear" w:color="auto" w:fill="auto"/>
            <w:noWrap/>
            <w:hideMark/>
          </w:tcPr>
          <w:p w14:paraId="1E961B97" w14:textId="62235BEF" w:rsidR="006616A5" w:rsidRPr="00312323" w:rsidRDefault="006616A5" w:rsidP="006616A5">
            <w:pPr>
              <w:jc w:val="center"/>
              <w:rPr>
                <w:rFonts w:eastAsia="Times New Roman" w:cs="Times New Roman"/>
                <w:color w:val="000000"/>
                <w:sz w:val="16"/>
                <w:szCs w:val="16"/>
                <w:lang w:eastAsia="es-GT"/>
              </w:rPr>
            </w:pPr>
            <w:r w:rsidRPr="00312323">
              <w:rPr>
                <w:sz w:val="16"/>
                <w:szCs w:val="16"/>
              </w:rPr>
              <w:t>2,381.5</w:t>
            </w:r>
          </w:p>
        </w:tc>
        <w:tc>
          <w:tcPr>
            <w:tcW w:w="861" w:type="dxa"/>
            <w:tcBorders>
              <w:top w:val="nil"/>
              <w:left w:val="dotDash" w:sz="4" w:space="0" w:color="auto"/>
              <w:bottom w:val="nil"/>
              <w:right w:val="nil"/>
            </w:tcBorders>
            <w:shd w:val="clear" w:color="auto" w:fill="auto"/>
            <w:noWrap/>
            <w:hideMark/>
          </w:tcPr>
          <w:p w14:paraId="7FAD3011" w14:textId="46E9A7EA" w:rsidR="006616A5" w:rsidRPr="00312323" w:rsidRDefault="006616A5" w:rsidP="006616A5">
            <w:pPr>
              <w:jc w:val="center"/>
              <w:rPr>
                <w:rFonts w:eastAsia="Times New Roman" w:cs="Times New Roman"/>
                <w:color w:val="000000"/>
                <w:sz w:val="16"/>
                <w:szCs w:val="16"/>
                <w:lang w:eastAsia="es-GT"/>
              </w:rPr>
            </w:pPr>
            <w:r w:rsidRPr="00312323">
              <w:rPr>
                <w:sz w:val="16"/>
                <w:szCs w:val="16"/>
              </w:rPr>
              <w:t>505.2</w:t>
            </w:r>
          </w:p>
        </w:tc>
        <w:tc>
          <w:tcPr>
            <w:tcW w:w="941" w:type="dxa"/>
            <w:tcBorders>
              <w:top w:val="nil"/>
              <w:left w:val="nil"/>
              <w:bottom w:val="nil"/>
              <w:right w:val="nil"/>
            </w:tcBorders>
            <w:shd w:val="clear" w:color="auto" w:fill="auto"/>
            <w:noWrap/>
            <w:hideMark/>
          </w:tcPr>
          <w:p w14:paraId="3219EF91" w14:textId="5F529FFE" w:rsidR="006616A5" w:rsidRPr="00312323" w:rsidRDefault="006616A5" w:rsidP="006616A5">
            <w:pPr>
              <w:jc w:val="center"/>
              <w:rPr>
                <w:rFonts w:eastAsia="Times New Roman" w:cs="Times New Roman"/>
                <w:color w:val="000000"/>
                <w:sz w:val="16"/>
                <w:szCs w:val="16"/>
                <w:lang w:eastAsia="es-GT"/>
              </w:rPr>
            </w:pPr>
            <w:r w:rsidRPr="00312323">
              <w:rPr>
                <w:sz w:val="16"/>
                <w:szCs w:val="16"/>
              </w:rPr>
              <w:t>26.9</w:t>
            </w:r>
          </w:p>
        </w:tc>
        <w:tc>
          <w:tcPr>
            <w:tcW w:w="815" w:type="dxa"/>
            <w:tcBorders>
              <w:top w:val="nil"/>
              <w:left w:val="dotDash" w:sz="4" w:space="0" w:color="auto"/>
              <w:bottom w:val="nil"/>
              <w:right w:val="nil"/>
            </w:tcBorders>
            <w:shd w:val="clear" w:color="auto" w:fill="auto"/>
            <w:vAlign w:val="center"/>
          </w:tcPr>
          <w:p w14:paraId="0FC672BB" w14:textId="0E40A342" w:rsidR="006616A5" w:rsidRPr="002B75BA" w:rsidRDefault="006616A5" w:rsidP="002B75BA">
            <w:pPr>
              <w:jc w:val="center"/>
              <w:rPr>
                <w:sz w:val="16"/>
                <w:szCs w:val="16"/>
              </w:rPr>
            </w:pPr>
            <w:r w:rsidRPr="002B75BA">
              <w:rPr>
                <w:color w:val="000000"/>
                <w:sz w:val="16"/>
                <w:szCs w:val="16"/>
              </w:rPr>
              <w:t>0.3</w:t>
            </w:r>
          </w:p>
        </w:tc>
        <w:tc>
          <w:tcPr>
            <w:tcW w:w="709" w:type="dxa"/>
            <w:tcBorders>
              <w:top w:val="nil"/>
              <w:left w:val="nil"/>
              <w:bottom w:val="nil"/>
              <w:right w:val="nil"/>
            </w:tcBorders>
            <w:shd w:val="clear" w:color="auto" w:fill="auto"/>
            <w:vAlign w:val="center"/>
          </w:tcPr>
          <w:p w14:paraId="4E14E3EB" w14:textId="60C3D053" w:rsidR="006616A5" w:rsidRPr="002B75BA" w:rsidRDefault="006616A5" w:rsidP="002B75BA">
            <w:pPr>
              <w:jc w:val="center"/>
              <w:rPr>
                <w:sz w:val="16"/>
                <w:szCs w:val="16"/>
              </w:rPr>
            </w:pPr>
            <w:r w:rsidRPr="002B75BA">
              <w:rPr>
                <w:color w:val="000000"/>
                <w:sz w:val="16"/>
                <w:szCs w:val="16"/>
              </w:rPr>
              <w:t>0.3</w:t>
            </w:r>
          </w:p>
        </w:tc>
      </w:tr>
      <w:tr w:rsidR="006616A5" w:rsidRPr="00FC4688" w14:paraId="10FB4E84" w14:textId="34D575C0" w:rsidTr="00BB2F7C">
        <w:trPr>
          <w:trHeight w:val="252"/>
          <w:jc w:val="center"/>
        </w:trPr>
        <w:tc>
          <w:tcPr>
            <w:tcW w:w="3164" w:type="dxa"/>
            <w:tcBorders>
              <w:top w:val="nil"/>
              <w:left w:val="nil"/>
              <w:bottom w:val="nil"/>
              <w:right w:val="nil"/>
            </w:tcBorders>
            <w:shd w:val="clear" w:color="auto" w:fill="auto"/>
            <w:noWrap/>
            <w:vAlign w:val="center"/>
            <w:hideMark/>
          </w:tcPr>
          <w:p w14:paraId="63E596BB" w14:textId="77777777" w:rsidR="006616A5" w:rsidRPr="00FC4688" w:rsidRDefault="006616A5" w:rsidP="006616A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GASTO</w:t>
            </w:r>
          </w:p>
        </w:tc>
        <w:tc>
          <w:tcPr>
            <w:tcW w:w="861" w:type="dxa"/>
            <w:tcBorders>
              <w:top w:val="nil"/>
              <w:left w:val="nil"/>
              <w:bottom w:val="nil"/>
              <w:right w:val="nil"/>
            </w:tcBorders>
            <w:shd w:val="clear" w:color="auto" w:fill="auto"/>
            <w:noWrap/>
            <w:hideMark/>
          </w:tcPr>
          <w:p w14:paraId="79D45ED2" w14:textId="05542EC7"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88,294.8</w:t>
            </w:r>
          </w:p>
        </w:tc>
        <w:tc>
          <w:tcPr>
            <w:tcW w:w="861" w:type="dxa"/>
            <w:tcBorders>
              <w:top w:val="nil"/>
              <w:left w:val="nil"/>
              <w:bottom w:val="nil"/>
              <w:right w:val="nil"/>
            </w:tcBorders>
            <w:shd w:val="clear" w:color="auto" w:fill="auto"/>
            <w:noWrap/>
            <w:hideMark/>
          </w:tcPr>
          <w:p w14:paraId="634684CA" w14:textId="707FC533"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103,298.7</w:t>
            </w:r>
          </w:p>
        </w:tc>
        <w:tc>
          <w:tcPr>
            <w:tcW w:w="861" w:type="dxa"/>
            <w:tcBorders>
              <w:top w:val="nil"/>
              <w:left w:val="dotDash" w:sz="4" w:space="0" w:color="auto"/>
              <w:bottom w:val="nil"/>
              <w:right w:val="nil"/>
            </w:tcBorders>
            <w:shd w:val="clear" w:color="auto" w:fill="auto"/>
            <w:noWrap/>
            <w:hideMark/>
          </w:tcPr>
          <w:p w14:paraId="236125CE" w14:textId="2680D026"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15,003.9</w:t>
            </w:r>
          </w:p>
        </w:tc>
        <w:tc>
          <w:tcPr>
            <w:tcW w:w="941" w:type="dxa"/>
            <w:tcBorders>
              <w:top w:val="nil"/>
              <w:left w:val="nil"/>
              <w:bottom w:val="nil"/>
              <w:right w:val="nil"/>
            </w:tcBorders>
            <w:shd w:val="clear" w:color="auto" w:fill="auto"/>
            <w:noWrap/>
            <w:hideMark/>
          </w:tcPr>
          <w:p w14:paraId="60F4234E" w14:textId="30F05766"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17.0</w:t>
            </w:r>
          </w:p>
        </w:tc>
        <w:tc>
          <w:tcPr>
            <w:tcW w:w="815" w:type="dxa"/>
            <w:tcBorders>
              <w:top w:val="nil"/>
              <w:left w:val="dotDash" w:sz="4" w:space="0" w:color="auto"/>
              <w:bottom w:val="nil"/>
              <w:right w:val="nil"/>
            </w:tcBorders>
            <w:shd w:val="clear" w:color="auto" w:fill="auto"/>
            <w:vAlign w:val="center"/>
          </w:tcPr>
          <w:p w14:paraId="65DF2C8F" w14:textId="531BE694" w:rsidR="006616A5" w:rsidRPr="002B75BA" w:rsidRDefault="006616A5" w:rsidP="002B75BA">
            <w:pPr>
              <w:jc w:val="center"/>
              <w:rPr>
                <w:b/>
                <w:bCs/>
                <w:sz w:val="16"/>
                <w:szCs w:val="16"/>
              </w:rPr>
            </w:pPr>
            <w:r w:rsidRPr="002B75BA">
              <w:rPr>
                <w:b/>
                <w:bCs/>
                <w:color w:val="000000"/>
                <w:sz w:val="16"/>
                <w:szCs w:val="16"/>
              </w:rPr>
              <w:t>13.3</w:t>
            </w:r>
          </w:p>
        </w:tc>
        <w:tc>
          <w:tcPr>
            <w:tcW w:w="709" w:type="dxa"/>
            <w:tcBorders>
              <w:top w:val="nil"/>
              <w:left w:val="nil"/>
              <w:bottom w:val="nil"/>
              <w:right w:val="nil"/>
            </w:tcBorders>
            <w:shd w:val="clear" w:color="auto" w:fill="auto"/>
            <w:vAlign w:val="center"/>
          </w:tcPr>
          <w:p w14:paraId="7C132262" w14:textId="7069A137" w:rsidR="006616A5" w:rsidRPr="002B75BA" w:rsidRDefault="006616A5" w:rsidP="002B75BA">
            <w:pPr>
              <w:jc w:val="center"/>
              <w:rPr>
                <w:b/>
                <w:bCs/>
                <w:sz w:val="16"/>
                <w:szCs w:val="16"/>
              </w:rPr>
            </w:pPr>
            <w:r w:rsidRPr="002B75BA">
              <w:rPr>
                <w:b/>
                <w:bCs/>
                <w:color w:val="000000"/>
                <w:sz w:val="16"/>
                <w:szCs w:val="16"/>
              </w:rPr>
              <w:t>14.1</w:t>
            </w:r>
          </w:p>
        </w:tc>
      </w:tr>
      <w:tr w:rsidR="006616A5" w:rsidRPr="00FC4688" w14:paraId="461F9122" w14:textId="73A51B27" w:rsidTr="00BB2F7C">
        <w:trPr>
          <w:trHeight w:val="252"/>
          <w:jc w:val="center"/>
        </w:trPr>
        <w:tc>
          <w:tcPr>
            <w:tcW w:w="3164" w:type="dxa"/>
            <w:tcBorders>
              <w:top w:val="nil"/>
              <w:left w:val="nil"/>
              <w:bottom w:val="nil"/>
              <w:right w:val="nil"/>
            </w:tcBorders>
            <w:shd w:val="clear" w:color="auto" w:fill="auto"/>
            <w:noWrap/>
            <w:vAlign w:val="center"/>
            <w:hideMark/>
          </w:tcPr>
          <w:p w14:paraId="13FFD601"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Remuneración a los empleados </w:t>
            </w:r>
          </w:p>
        </w:tc>
        <w:tc>
          <w:tcPr>
            <w:tcW w:w="861" w:type="dxa"/>
            <w:tcBorders>
              <w:top w:val="nil"/>
              <w:left w:val="nil"/>
              <w:bottom w:val="nil"/>
              <w:right w:val="nil"/>
            </w:tcBorders>
            <w:shd w:val="clear" w:color="auto" w:fill="auto"/>
            <w:noWrap/>
            <w:hideMark/>
          </w:tcPr>
          <w:p w14:paraId="58C192BE" w14:textId="64606E85" w:rsidR="006616A5" w:rsidRPr="00312323" w:rsidRDefault="006616A5" w:rsidP="006616A5">
            <w:pPr>
              <w:jc w:val="center"/>
              <w:rPr>
                <w:rFonts w:eastAsia="Times New Roman" w:cs="Times New Roman"/>
                <w:color w:val="000000"/>
                <w:sz w:val="16"/>
                <w:szCs w:val="16"/>
                <w:lang w:eastAsia="es-GT"/>
              </w:rPr>
            </w:pPr>
            <w:r w:rsidRPr="00312323">
              <w:rPr>
                <w:sz w:val="16"/>
                <w:szCs w:val="16"/>
              </w:rPr>
              <w:t>30,875.9</w:t>
            </w:r>
          </w:p>
        </w:tc>
        <w:tc>
          <w:tcPr>
            <w:tcW w:w="861" w:type="dxa"/>
            <w:tcBorders>
              <w:top w:val="nil"/>
              <w:left w:val="nil"/>
              <w:bottom w:val="nil"/>
              <w:right w:val="nil"/>
            </w:tcBorders>
            <w:shd w:val="clear" w:color="auto" w:fill="auto"/>
            <w:noWrap/>
            <w:hideMark/>
          </w:tcPr>
          <w:p w14:paraId="15276D93" w14:textId="6B0FE2BB" w:rsidR="006616A5" w:rsidRPr="00312323" w:rsidRDefault="006616A5" w:rsidP="006616A5">
            <w:pPr>
              <w:jc w:val="center"/>
              <w:rPr>
                <w:rFonts w:eastAsia="Times New Roman" w:cs="Times New Roman"/>
                <w:color w:val="000000"/>
                <w:sz w:val="16"/>
                <w:szCs w:val="16"/>
                <w:lang w:eastAsia="es-GT"/>
              </w:rPr>
            </w:pPr>
            <w:r w:rsidRPr="00312323">
              <w:rPr>
                <w:sz w:val="16"/>
                <w:szCs w:val="16"/>
              </w:rPr>
              <w:t>32,268.8</w:t>
            </w:r>
          </w:p>
        </w:tc>
        <w:tc>
          <w:tcPr>
            <w:tcW w:w="861" w:type="dxa"/>
            <w:tcBorders>
              <w:top w:val="nil"/>
              <w:left w:val="dotDash" w:sz="4" w:space="0" w:color="auto"/>
              <w:bottom w:val="nil"/>
              <w:right w:val="nil"/>
            </w:tcBorders>
            <w:shd w:val="clear" w:color="auto" w:fill="auto"/>
            <w:noWrap/>
            <w:hideMark/>
          </w:tcPr>
          <w:p w14:paraId="24A35F1F" w14:textId="72C8E328" w:rsidR="006616A5" w:rsidRPr="00312323" w:rsidRDefault="006616A5" w:rsidP="006616A5">
            <w:pPr>
              <w:jc w:val="center"/>
              <w:rPr>
                <w:rFonts w:eastAsia="Times New Roman" w:cs="Times New Roman"/>
                <w:color w:val="000000"/>
                <w:sz w:val="16"/>
                <w:szCs w:val="16"/>
                <w:lang w:eastAsia="es-GT"/>
              </w:rPr>
            </w:pPr>
            <w:r w:rsidRPr="00312323">
              <w:rPr>
                <w:sz w:val="16"/>
                <w:szCs w:val="16"/>
              </w:rPr>
              <w:t>1,392.8</w:t>
            </w:r>
          </w:p>
        </w:tc>
        <w:tc>
          <w:tcPr>
            <w:tcW w:w="941" w:type="dxa"/>
            <w:tcBorders>
              <w:top w:val="nil"/>
              <w:left w:val="nil"/>
              <w:bottom w:val="nil"/>
              <w:right w:val="nil"/>
            </w:tcBorders>
            <w:shd w:val="clear" w:color="auto" w:fill="auto"/>
            <w:noWrap/>
            <w:hideMark/>
          </w:tcPr>
          <w:p w14:paraId="2A84DD03" w14:textId="0AEFCED8" w:rsidR="006616A5" w:rsidRPr="00312323" w:rsidRDefault="006616A5" w:rsidP="006616A5">
            <w:pPr>
              <w:jc w:val="center"/>
              <w:rPr>
                <w:rFonts w:eastAsia="Times New Roman" w:cs="Times New Roman"/>
                <w:color w:val="000000"/>
                <w:sz w:val="16"/>
                <w:szCs w:val="16"/>
                <w:lang w:eastAsia="es-GT"/>
              </w:rPr>
            </w:pPr>
            <w:r w:rsidRPr="00312323">
              <w:rPr>
                <w:sz w:val="16"/>
                <w:szCs w:val="16"/>
              </w:rPr>
              <w:t>4.5</w:t>
            </w:r>
          </w:p>
        </w:tc>
        <w:tc>
          <w:tcPr>
            <w:tcW w:w="815" w:type="dxa"/>
            <w:tcBorders>
              <w:top w:val="nil"/>
              <w:left w:val="dotDash" w:sz="4" w:space="0" w:color="auto"/>
              <w:bottom w:val="nil"/>
              <w:right w:val="nil"/>
            </w:tcBorders>
            <w:shd w:val="clear" w:color="auto" w:fill="auto"/>
            <w:vAlign w:val="center"/>
          </w:tcPr>
          <w:p w14:paraId="185FD406" w14:textId="1F5AB8F0" w:rsidR="006616A5" w:rsidRPr="002B75BA" w:rsidRDefault="006616A5" w:rsidP="002B75BA">
            <w:pPr>
              <w:jc w:val="center"/>
              <w:rPr>
                <w:sz w:val="16"/>
                <w:szCs w:val="16"/>
              </w:rPr>
            </w:pPr>
            <w:r w:rsidRPr="002B75BA">
              <w:rPr>
                <w:color w:val="000000"/>
                <w:sz w:val="16"/>
                <w:szCs w:val="16"/>
              </w:rPr>
              <w:t>4.6</w:t>
            </w:r>
          </w:p>
        </w:tc>
        <w:tc>
          <w:tcPr>
            <w:tcW w:w="709" w:type="dxa"/>
            <w:tcBorders>
              <w:top w:val="nil"/>
              <w:left w:val="nil"/>
              <w:bottom w:val="nil"/>
              <w:right w:val="nil"/>
            </w:tcBorders>
            <w:shd w:val="clear" w:color="auto" w:fill="auto"/>
            <w:vAlign w:val="center"/>
          </w:tcPr>
          <w:p w14:paraId="200FAFC4" w14:textId="76758FB3" w:rsidR="006616A5" w:rsidRPr="002B75BA" w:rsidRDefault="006616A5" w:rsidP="002B75BA">
            <w:pPr>
              <w:jc w:val="center"/>
              <w:rPr>
                <w:sz w:val="16"/>
                <w:szCs w:val="16"/>
              </w:rPr>
            </w:pPr>
            <w:r w:rsidRPr="002B75BA">
              <w:rPr>
                <w:color w:val="000000"/>
                <w:sz w:val="16"/>
                <w:szCs w:val="16"/>
              </w:rPr>
              <w:t>4.4</w:t>
            </w:r>
          </w:p>
        </w:tc>
      </w:tr>
      <w:tr w:rsidR="006616A5" w:rsidRPr="00FC4688" w14:paraId="763002C0" w14:textId="7834390E" w:rsidTr="00BB2F7C">
        <w:trPr>
          <w:trHeight w:val="252"/>
          <w:jc w:val="center"/>
        </w:trPr>
        <w:tc>
          <w:tcPr>
            <w:tcW w:w="3164" w:type="dxa"/>
            <w:tcBorders>
              <w:top w:val="nil"/>
              <w:left w:val="nil"/>
              <w:bottom w:val="nil"/>
              <w:right w:val="nil"/>
            </w:tcBorders>
            <w:shd w:val="clear" w:color="auto" w:fill="auto"/>
            <w:noWrap/>
            <w:vAlign w:val="center"/>
            <w:hideMark/>
          </w:tcPr>
          <w:p w14:paraId="440FA569"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Uso de bienes y servicios  </w:t>
            </w:r>
          </w:p>
        </w:tc>
        <w:tc>
          <w:tcPr>
            <w:tcW w:w="861" w:type="dxa"/>
            <w:tcBorders>
              <w:top w:val="nil"/>
              <w:left w:val="nil"/>
              <w:bottom w:val="nil"/>
              <w:right w:val="nil"/>
            </w:tcBorders>
            <w:shd w:val="clear" w:color="auto" w:fill="auto"/>
            <w:noWrap/>
            <w:hideMark/>
          </w:tcPr>
          <w:p w14:paraId="274981BE" w14:textId="7E66A13B" w:rsidR="006616A5" w:rsidRPr="00312323" w:rsidRDefault="006616A5" w:rsidP="006616A5">
            <w:pPr>
              <w:jc w:val="center"/>
              <w:rPr>
                <w:rFonts w:eastAsia="Times New Roman" w:cs="Times New Roman"/>
                <w:color w:val="000000"/>
                <w:sz w:val="16"/>
                <w:szCs w:val="16"/>
                <w:lang w:eastAsia="es-GT"/>
              </w:rPr>
            </w:pPr>
            <w:r w:rsidRPr="00312323">
              <w:rPr>
                <w:sz w:val="16"/>
                <w:szCs w:val="16"/>
              </w:rPr>
              <w:t>13,254.2</w:t>
            </w:r>
          </w:p>
        </w:tc>
        <w:tc>
          <w:tcPr>
            <w:tcW w:w="861" w:type="dxa"/>
            <w:tcBorders>
              <w:top w:val="nil"/>
              <w:left w:val="nil"/>
              <w:bottom w:val="nil"/>
              <w:right w:val="nil"/>
            </w:tcBorders>
            <w:shd w:val="clear" w:color="auto" w:fill="auto"/>
            <w:noWrap/>
            <w:hideMark/>
          </w:tcPr>
          <w:p w14:paraId="4A030C45" w14:textId="4FB54250" w:rsidR="006616A5" w:rsidRPr="00312323" w:rsidRDefault="006616A5" w:rsidP="006616A5">
            <w:pPr>
              <w:jc w:val="center"/>
              <w:rPr>
                <w:rFonts w:eastAsia="Times New Roman" w:cs="Times New Roman"/>
                <w:color w:val="000000"/>
                <w:sz w:val="16"/>
                <w:szCs w:val="16"/>
                <w:lang w:eastAsia="es-GT"/>
              </w:rPr>
            </w:pPr>
            <w:r w:rsidRPr="00312323">
              <w:rPr>
                <w:sz w:val="16"/>
                <w:szCs w:val="16"/>
              </w:rPr>
              <w:t>16,657.0</w:t>
            </w:r>
          </w:p>
        </w:tc>
        <w:tc>
          <w:tcPr>
            <w:tcW w:w="861" w:type="dxa"/>
            <w:tcBorders>
              <w:top w:val="nil"/>
              <w:left w:val="dotDash" w:sz="4" w:space="0" w:color="auto"/>
              <w:bottom w:val="nil"/>
              <w:right w:val="nil"/>
            </w:tcBorders>
            <w:shd w:val="clear" w:color="auto" w:fill="auto"/>
            <w:noWrap/>
            <w:hideMark/>
          </w:tcPr>
          <w:p w14:paraId="71FAA062" w14:textId="488B1983" w:rsidR="006616A5" w:rsidRPr="00312323" w:rsidRDefault="006616A5" w:rsidP="006616A5">
            <w:pPr>
              <w:jc w:val="center"/>
              <w:rPr>
                <w:rFonts w:eastAsia="Times New Roman" w:cs="Times New Roman"/>
                <w:color w:val="000000"/>
                <w:sz w:val="16"/>
                <w:szCs w:val="16"/>
                <w:lang w:eastAsia="es-GT"/>
              </w:rPr>
            </w:pPr>
            <w:r w:rsidRPr="00312323">
              <w:rPr>
                <w:sz w:val="16"/>
                <w:szCs w:val="16"/>
              </w:rPr>
              <w:t>3,402.8</w:t>
            </w:r>
          </w:p>
        </w:tc>
        <w:tc>
          <w:tcPr>
            <w:tcW w:w="941" w:type="dxa"/>
            <w:tcBorders>
              <w:top w:val="nil"/>
              <w:left w:val="nil"/>
              <w:bottom w:val="nil"/>
              <w:right w:val="nil"/>
            </w:tcBorders>
            <w:shd w:val="clear" w:color="auto" w:fill="auto"/>
            <w:noWrap/>
            <w:hideMark/>
          </w:tcPr>
          <w:p w14:paraId="36E7D054" w14:textId="15816184" w:rsidR="006616A5" w:rsidRPr="00312323" w:rsidRDefault="006616A5" w:rsidP="006616A5">
            <w:pPr>
              <w:jc w:val="center"/>
              <w:rPr>
                <w:rFonts w:eastAsia="Times New Roman" w:cs="Times New Roman"/>
                <w:color w:val="000000"/>
                <w:sz w:val="16"/>
                <w:szCs w:val="16"/>
                <w:lang w:eastAsia="es-GT"/>
              </w:rPr>
            </w:pPr>
            <w:r w:rsidRPr="00312323">
              <w:rPr>
                <w:sz w:val="16"/>
                <w:szCs w:val="16"/>
              </w:rPr>
              <w:t>25.7</w:t>
            </w:r>
          </w:p>
        </w:tc>
        <w:tc>
          <w:tcPr>
            <w:tcW w:w="815" w:type="dxa"/>
            <w:tcBorders>
              <w:top w:val="nil"/>
              <w:left w:val="dotDash" w:sz="4" w:space="0" w:color="auto"/>
              <w:bottom w:val="nil"/>
              <w:right w:val="nil"/>
            </w:tcBorders>
            <w:shd w:val="clear" w:color="auto" w:fill="auto"/>
            <w:vAlign w:val="center"/>
          </w:tcPr>
          <w:p w14:paraId="7C094FE6" w14:textId="1716AEEE" w:rsidR="006616A5" w:rsidRPr="002B75BA" w:rsidRDefault="006616A5" w:rsidP="002B75BA">
            <w:pPr>
              <w:jc w:val="center"/>
              <w:rPr>
                <w:sz w:val="16"/>
                <w:szCs w:val="16"/>
              </w:rPr>
            </w:pPr>
            <w:r w:rsidRPr="002B75BA">
              <w:rPr>
                <w:color w:val="000000"/>
                <w:sz w:val="16"/>
                <w:szCs w:val="16"/>
              </w:rPr>
              <w:t>2.0</w:t>
            </w:r>
          </w:p>
        </w:tc>
        <w:tc>
          <w:tcPr>
            <w:tcW w:w="709" w:type="dxa"/>
            <w:tcBorders>
              <w:top w:val="nil"/>
              <w:left w:val="nil"/>
              <w:bottom w:val="nil"/>
              <w:right w:val="nil"/>
            </w:tcBorders>
            <w:shd w:val="clear" w:color="auto" w:fill="auto"/>
            <w:vAlign w:val="center"/>
          </w:tcPr>
          <w:p w14:paraId="067DB5CA" w14:textId="5C419F53" w:rsidR="006616A5" w:rsidRPr="002B75BA" w:rsidRDefault="006616A5" w:rsidP="002B75BA">
            <w:pPr>
              <w:jc w:val="center"/>
              <w:rPr>
                <w:sz w:val="16"/>
                <w:szCs w:val="16"/>
              </w:rPr>
            </w:pPr>
            <w:r w:rsidRPr="002B75BA">
              <w:rPr>
                <w:color w:val="000000"/>
                <w:sz w:val="16"/>
                <w:szCs w:val="16"/>
              </w:rPr>
              <w:t>2.3</w:t>
            </w:r>
          </w:p>
        </w:tc>
      </w:tr>
      <w:tr w:rsidR="006616A5" w:rsidRPr="00FC4688" w14:paraId="59EDB4D0" w14:textId="084FA0BF" w:rsidTr="00BB2F7C">
        <w:trPr>
          <w:trHeight w:val="252"/>
          <w:jc w:val="center"/>
        </w:trPr>
        <w:tc>
          <w:tcPr>
            <w:tcW w:w="3164" w:type="dxa"/>
            <w:tcBorders>
              <w:top w:val="nil"/>
              <w:left w:val="nil"/>
              <w:bottom w:val="nil"/>
              <w:right w:val="nil"/>
            </w:tcBorders>
            <w:shd w:val="clear" w:color="auto" w:fill="auto"/>
            <w:noWrap/>
            <w:vAlign w:val="center"/>
            <w:hideMark/>
          </w:tcPr>
          <w:p w14:paraId="2AE67098"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Intereses </w:t>
            </w:r>
          </w:p>
        </w:tc>
        <w:tc>
          <w:tcPr>
            <w:tcW w:w="861" w:type="dxa"/>
            <w:tcBorders>
              <w:top w:val="nil"/>
              <w:left w:val="nil"/>
              <w:bottom w:val="nil"/>
              <w:right w:val="nil"/>
            </w:tcBorders>
            <w:shd w:val="clear" w:color="auto" w:fill="auto"/>
            <w:noWrap/>
            <w:hideMark/>
          </w:tcPr>
          <w:p w14:paraId="657A3FF9" w14:textId="0F9497AB" w:rsidR="006616A5" w:rsidRPr="00312323" w:rsidRDefault="006616A5" w:rsidP="006616A5">
            <w:pPr>
              <w:jc w:val="center"/>
              <w:rPr>
                <w:rFonts w:eastAsia="Times New Roman" w:cs="Times New Roman"/>
                <w:color w:val="000000"/>
                <w:sz w:val="16"/>
                <w:szCs w:val="16"/>
                <w:lang w:eastAsia="es-GT"/>
              </w:rPr>
            </w:pPr>
            <w:r w:rsidRPr="00312323">
              <w:rPr>
                <w:sz w:val="16"/>
                <w:szCs w:val="16"/>
              </w:rPr>
              <w:t>11,394.5</w:t>
            </w:r>
          </w:p>
        </w:tc>
        <w:tc>
          <w:tcPr>
            <w:tcW w:w="861" w:type="dxa"/>
            <w:tcBorders>
              <w:top w:val="nil"/>
              <w:left w:val="nil"/>
              <w:bottom w:val="nil"/>
              <w:right w:val="nil"/>
            </w:tcBorders>
            <w:shd w:val="clear" w:color="auto" w:fill="auto"/>
            <w:noWrap/>
            <w:hideMark/>
          </w:tcPr>
          <w:p w14:paraId="1DF51B9C" w14:textId="42C09BA6" w:rsidR="006616A5" w:rsidRPr="00312323" w:rsidRDefault="006616A5" w:rsidP="006616A5">
            <w:pPr>
              <w:jc w:val="center"/>
              <w:rPr>
                <w:rFonts w:eastAsia="Times New Roman" w:cs="Times New Roman"/>
                <w:color w:val="000000"/>
                <w:sz w:val="16"/>
                <w:szCs w:val="16"/>
                <w:lang w:eastAsia="es-GT"/>
              </w:rPr>
            </w:pPr>
            <w:r w:rsidRPr="00312323">
              <w:rPr>
                <w:sz w:val="16"/>
                <w:szCs w:val="16"/>
              </w:rPr>
              <w:t>12,120.5</w:t>
            </w:r>
          </w:p>
        </w:tc>
        <w:tc>
          <w:tcPr>
            <w:tcW w:w="861" w:type="dxa"/>
            <w:tcBorders>
              <w:top w:val="nil"/>
              <w:left w:val="dotDash" w:sz="4" w:space="0" w:color="auto"/>
              <w:bottom w:val="nil"/>
              <w:right w:val="nil"/>
            </w:tcBorders>
            <w:shd w:val="clear" w:color="auto" w:fill="auto"/>
            <w:noWrap/>
            <w:hideMark/>
          </w:tcPr>
          <w:p w14:paraId="5F30F594" w14:textId="506DB4BC" w:rsidR="006616A5" w:rsidRPr="00312323" w:rsidRDefault="006616A5" w:rsidP="006616A5">
            <w:pPr>
              <w:jc w:val="center"/>
              <w:rPr>
                <w:rFonts w:eastAsia="Times New Roman" w:cs="Times New Roman"/>
                <w:color w:val="000000"/>
                <w:sz w:val="16"/>
                <w:szCs w:val="16"/>
                <w:lang w:eastAsia="es-GT"/>
              </w:rPr>
            </w:pPr>
            <w:r w:rsidRPr="00312323">
              <w:rPr>
                <w:sz w:val="16"/>
                <w:szCs w:val="16"/>
              </w:rPr>
              <w:t>726.0</w:t>
            </w:r>
          </w:p>
        </w:tc>
        <w:tc>
          <w:tcPr>
            <w:tcW w:w="941" w:type="dxa"/>
            <w:tcBorders>
              <w:top w:val="nil"/>
              <w:left w:val="nil"/>
              <w:bottom w:val="nil"/>
              <w:right w:val="nil"/>
            </w:tcBorders>
            <w:shd w:val="clear" w:color="auto" w:fill="auto"/>
            <w:noWrap/>
            <w:hideMark/>
          </w:tcPr>
          <w:p w14:paraId="744A1AA9" w14:textId="0289F3DF" w:rsidR="006616A5" w:rsidRPr="00312323" w:rsidRDefault="006616A5" w:rsidP="006616A5">
            <w:pPr>
              <w:jc w:val="center"/>
              <w:rPr>
                <w:rFonts w:eastAsia="Times New Roman" w:cs="Times New Roman"/>
                <w:color w:val="000000"/>
                <w:sz w:val="16"/>
                <w:szCs w:val="16"/>
                <w:lang w:eastAsia="es-GT"/>
              </w:rPr>
            </w:pPr>
            <w:r w:rsidRPr="00312323">
              <w:rPr>
                <w:sz w:val="16"/>
                <w:szCs w:val="16"/>
              </w:rPr>
              <w:t>6.4</w:t>
            </w:r>
          </w:p>
        </w:tc>
        <w:tc>
          <w:tcPr>
            <w:tcW w:w="815" w:type="dxa"/>
            <w:tcBorders>
              <w:top w:val="nil"/>
              <w:left w:val="dotDash" w:sz="4" w:space="0" w:color="auto"/>
              <w:bottom w:val="nil"/>
              <w:right w:val="nil"/>
            </w:tcBorders>
            <w:shd w:val="clear" w:color="auto" w:fill="auto"/>
            <w:vAlign w:val="center"/>
          </w:tcPr>
          <w:p w14:paraId="6A0024E4" w14:textId="5C8A1C33" w:rsidR="006616A5" w:rsidRPr="002B75BA" w:rsidRDefault="006616A5" w:rsidP="002B75BA">
            <w:pPr>
              <w:jc w:val="center"/>
              <w:rPr>
                <w:sz w:val="16"/>
                <w:szCs w:val="16"/>
              </w:rPr>
            </w:pPr>
            <w:r w:rsidRPr="002B75BA">
              <w:rPr>
                <w:color w:val="000000"/>
                <w:sz w:val="16"/>
                <w:szCs w:val="16"/>
              </w:rPr>
              <w:t>1.7</w:t>
            </w:r>
          </w:p>
        </w:tc>
        <w:tc>
          <w:tcPr>
            <w:tcW w:w="709" w:type="dxa"/>
            <w:tcBorders>
              <w:top w:val="nil"/>
              <w:left w:val="nil"/>
              <w:bottom w:val="nil"/>
              <w:right w:val="nil"/>
            </w:tcBorders>
            <w:shd w:val="clear" w:color="auto" w:fill="auto"/>
            <w:vAlign w:val="center"/>
          </w:tcPr>
          <w:p w14:paraId="71D66573" w14:textId="3968C3B1" w:rsidR="006616A5" w:rsidRPr="002B75BA" w:rsidRDefault="006616A5" w:rsidP="002B75BA">
            <w:pPr>
              <w:jc w:val="center"/>
              <w:rPr>
                <w:sz w:val="16"/>
                <w:szCs w:val="16"/>
              </w:rPr>
            </w:pPr>
            <w:r w:rsidRPr="002B75BA">
              <w:rPr>
                <w:color w:val="000000"/>
                <w:sz w:val="16"/>
                <w:szCs w:val="16"/>
              </w:rPr>
              <w:t>1.7</w:t>
            </w:r>
          </w:p>
        </w:tc>
      </w:tr>
      <w:tr w:rsidR="006616A5" w:rsidRPr="00FC4688" w14:paraId="4F52C47F" w14:textId="52E7ED7E" w:rsidTr="00BB2F7C">
        <w:trPr>
          <w:trHeight w:val="252"/>
          <w:jc w:val="center"/>
        </w:trPr>
        <w:tc>
          <w:tcPr>
            <w:tcW w:w="3164" w:type="dxa"/>
            <w:tcBorders>
              <w:top w:val="nil"/>
              <w:left w:val="nil"/>
              <w:bottom w:val="nil"/>
              <w:right w:val="nil"/>
            </w:tcBorders>
            <w:shd w:val="clear" w:color="auto" w:fill="auto"/>
            <w:noWrap/>
            <w:vAlign w:val="center"/>
            <w:hideMark/>
          </w:tcPr>
          <w:p w14:paraId="0F3E6D4D"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Subsidios </w:t>
            </w:r>
          </w:p>
        </w:tc>
        <w:tc>
          <w:tcPr>
            <w:tcW w:w="861" w:type="dxa"/>
            <w:tcBorders>
              <w:top w:val="nil"/>
              <w:left w:val="nil"/>
              <w:bottom w:val="nil"/>
              <w:right w:val="nil"/>
            </w:tcBorders>
            <w:shd w:val="clear" w:color="auto" w:fill="auto"/>
            <w:noWrap/>
            <w:hideMark/>
          </w:tcPr>
          <w:p w14:paraId="68F3DF5D" w14:textId="74F49623" w:rsidR="006616A5" w:rsidRPr="00312323" w:rsidRDefault="006616A5" w:rsidP="006616A5">
            <w:pPr>
              <w:jc w:val="center"/>
              <w:rPr>
                <w:rFonts w:eastAsia="Times New Roman" w:cs="Times New Roman"/>
                <w:color w:val="000000"/>
                <w:sz w:val="16"/>
                <w:szCs w:val="16"/>
                <w:lang w:eastAsia="es-GT"/>
              </w:rPr>
            </w:pPr>
            <w:r w:rsidRPr="00312323">
              <w:rPr>
                <w:sz w:val="16"/>
                <w:szCs w:val="16"/>
              </w:rPr>
              <w:t>432.4</w:t>
            </w:r>
          </w:p>
        </w:tc>
        <w:tc>
          <w:tcPr>
            <w:tcW w:w="861" w:type="dxa"/>
            <w:tcBorders>
              <w:top w:val="nil"/>
              <w:left w:val="nil"/>
              <w:bottom w:val="nil"/>
              <w:right w:val="nil"/>
            </w:tcBorders>
            <w:shd w:val="clear" w:color="auto" w:fill="auto"/>
            <w:noWrap/>
            <w:hideMark/>
          </w:tcPr>
          <w:p w14:paraId="6ECCDC0F" w14:textId="7450D83A" w:rsidR="006616A5" w:rsidRPr="00312323" w:rsidRDefault="006616A5" w:rsidP="006616A5">
            <w:pPr>
              <w:jc w:val="center"/>
              <w:rPr>
                <w:rFonts w:eastAsia="Times New Roman" w:cs="Times New Roman"/>
                <w:color w:val="000000"/>
                <w:sz w:val="16"/>
                <w:szCs w:val="16"/>
                <w:lang w:eastAsia="es-GT"/>
              </w:rPr>
            </w:pPr>
            <w:r w:rsidRPr="00312323">
              <w:rPr>
                <w:sz w:val="16"/>
                <w:szCs w:val="16"/>
              </w:rPr>
              <w:t>3,424.5</w:t>
            </w:r>
          </w:p>
        </w:tc>
        <w:tc>
          <w:tcPr>
            <w:tcW w:w="861" w:type="dxa"/>
            <w:tcBorders>
              <w:top w:val="nil"/>
              <w:left w:val="dotDash" w:sz="4" w:space="0" w:color="auto"/>
              <w:bottom w:val="nil"/>
              <w:right w:val="nil"/>
            </w:tcBorders>
            <w:shd w:val="clear" w:color="auto" w:fill="auto"/>
            <w:noWrap/>
            <w:hideMark/>
          </w:tcPr>
          <w:p w14:paraId="44230D28" w14:textId="52D76F48" w:rsidR="006616A5" w:rsidRPr="00312323" w:rsidRDefault="006616A5" w:rsidP="006616A5">
            <w:pPr>
              <w:jc w:val="center"/>
              <w:rPr>
                <w:rFonts w:eastAsia="Times New Roman" w:cs="Times New Roman"/>
                <w:color w:val="000000"/>
                <w:sz w:val="16"/>
                <w:szCs w:val="16"/>
                <w:lang w:eastAsia="es-GT"/>
              </w:rPr>
            </w:pPr>
            <w:r w:rsidRPr="00312323">
              <w:rPr>
                <w:sz w:val="16"/>
                <w:szCs w:val="16"/>
              </w:rPr>
              <w:t>2,992.1</w:t>
            </w:r>
          </w:p>
        </w:tc>
        <w:tc>
          <w:tcPr>
            <w:tcW w:w="941" w:type="dxa"/>
            <w:tcBorders>
              <w:top w:val="nil"/>
              <w:left w:val="nil"/>
              <w:bottom w:val="nil"/>
              <w:right w:val="nil"/>
            </w:tcBorders>
            <w:shd w:val="clear" w:color="auto" w:fill="auto"/>
            <w:noWrap/>
            <w:hideMark/>
          </w:tcPr>
          <w:p w14:paraId="0FBC8BFB" w14:textId="5CF2135E" w:rsidR="006616A5" w:rsidRPr="00312323" w:rsidRDefault="006616A5" w:rsidP="006616A5">
            <w:pPr>
              <w:jc w:val="center"/>
              <w:rPr>
                <w:rFonts w:eastAsia="Times New Roman" w:cs="Times New Roman"/>
                <w:color w:val="000000"/>
                <w:sz w:val="16"/>
                <w:szCs w:val="16"/>
                <w:lang w:eastAsia="es-GT"/>
              </w:rPr>
            </w:pPr>
            <w:r w:rsidRPr="00312323">
              <w:rPr>
                <w:sz w:val="16"/>
                <w:szCs w:val="16"/>
              </w:rPr>
              <w:t>691.9</w:t>
            </w:r>
          </w:p>
        </w:tc>
        <w:tc>
          <w:tcPr>
            <w:tcW w:w="815" w:type="dxa"/>
            <w:tcBorders>
              <w:top w:val="nil"/>
              <w:left w:val="dotDash" w:sz="4" w:space="0" w:color="auto"/>
              <w:bottom w:val="nil"/>
              <w:right w:val="nil"/>
            </w:tcBorders>
            <w:shd w:val="clear" w:color="auto" w:fill="auto"/>
            <w:vAlign w:val="center"/>
          </w:tcPr>
          <w:p w14:paraId="050CED02" w14:textId="03283E1D" w:rsidR="006616A5" w:rsidRPr="002B75BA" w:rsidRDefault="006616A5" w:rsidP="002B75BA">
            <w:pPr>
              <w:jc w:val="center"/>
              <w:rPr>
                <w:sz w:val="16"/>
                <w:szCs w:val="16"/>
              </w:rPr>
            </w:pPr>
            <w:r w:rsidRPr="002B75BA">
              <w:rPr>
                <w:color w:val="000000"/>
                <w:sz w:val="16"/>
                <w:szCs w:val="16"/>
              </w:rPr>
              <w:t>0.1</w:t>
            </w:r>
          </w:p>
        </w:tc>
        <w:tc>
          <w:tcPr>
            <w:tcW w:w="709" w:type="dxa"/>
            <w:tcBorders>
              <w:top w:val="nil"/>
              <w:left w:val="nil"/>
              <w:bottom w:val="nil"/>
              <w:right w:val="nil"/>
            </w:tcBorders>
            <w:shd w:val="clear" w:color="auto" w:fill="auto"/>
            <w:vAlign w:val="center"/>
          </w:tcPr>
          <w:p w14:paraId="268ED31E" w14:textId="39E385B9" w:rsidR="006616A5" w:rsidRPr="002B75BA" w:rsidRDefault="006616A5" w:rsidP="002B75BA">
            <w:pPr>
              <w:jc w:val="center"/>
              <w:rPr>
                <w:sz w:val="16"/>
                <w:szCs w:val="16"/>
              </w:rPr>
            </w:pPr>
            <w:r w:rsidRPr="002B75BA">
              <w:rPr>
                <w:color w:val="000000"/>
                <w:sz w:val="16"/>
                <w:szCs w:val="16"/>
              </w:rPr>
              <w:t>0.5</w:t>
            </w:r>
          </w:p>
        </w:tc>
      </w:tr>
      <w:tr w:rsidR="006616A5" w:rsidRPr="00FC4688" w14:paraId="1F5BC8D0" w14:textId="0482C69D" w:rsidTr="00BB2F7C">
        <w:trPr>
          <w:trHeight w:val="252"/>
          <w:jc w:val="center"/>
        </w:trPr>
        <w:tc>
          <w:tcPr>
            <w:tcW w:w="3164" w:type="dxa"/>
            <w:tcBorders>
              <w:top w:val="nil"/>
              <w:left w:val="nil"/>
              <w:bottom w:val="nil"/>
              <w:right w:val="nil"/>
            </w:tcBorders>
            <w:shd w:val="clear" w:color="auto" w:fill="auto"/>
            <w:noWrap/>
            <w:vAlign w:val="center"/>
            <w:hideMark/>
          </w:tcPr>
          <w:p w14:paraId="35490B56"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Donaciones </w:t>
            </w:r>
          </w:p>
        </w:tc>
        <w:tc>
          <w:tcPr>
            <w:tcW w:w="861" w:type="dxa"/>
            <w:tcBorders>
              <w:top w:val="nil"/>
              <w:left w:val="nil"/>
              <w:bottom w:val="nil"/>
              <w:right w:val="nil"/>
            </w:tcBorders>
            <w:shd w:val="clear" w:color="auto" w:fill="auto"/>
            <w:noWrap/>
            <w:hideMark/>
          </w:tcPr>
          <w:p w14:paraId="4E44BBDB" w14:textId="575EA21A" w:rsidR="006616A5" w:rsidRPr="00312323" w:rsidRDefault="006616A5" w:rsidP="006616A5">
            <w:pPr>
              <w:jc w:val="center"/>
              <w:rPr>
                <w:rFonts w:eastAsia="Times New Roman" w:cs="Times New Roman"/>
                <w:color w:val="000000"/>
                <w:sz w:val="16"/>
                <w:szCs w:val="16"/>
                <w:lang w:eastAsia="es-GT"/>
              </w:rPr>
            </w:pPr>
            <w:r w:rsidRPr="00312323">
              <w:rPr>
                <w:sz w:val="16"/>
                <w:szCs w:val="16"/>
              </w:rPr>
              <w:t>21,068.1</w:t>
            </w:r>
          </w:p>
        </w:tc>
        <w:tc>
          <w:tcPr>
            <w:tcW w:w="861" w:type="dxa"/>
            <w:tcBorders>
              <w:top w:val="nil"/>
              <w:left w:val="nil"/>
              <w:bottom w:val="nil"/>
              <w:right w:val="nil"/>
            </w:tcBorders>
            <w:shd w:val="clear" w:color="auto" w:fill="auto"/>
            <w:noWrap/>
            <w:hideMark/>
          </w:tcPr>
          <w:p w14:paraId="3DE7A3B0" w14:textId="40E17D87" w:rsidR="006616A5" w:rsidRPr="00312323" w:rsidRDefault="006616A5" w:rsidP="006616A5">
            <w:pPr>
              <w:jc w:val="center"/>
              <w:rPr>
                <w:rFonts w:eastAsia="Times New Roman" w:cs="Times New Roman"/>
                <w:color w:val="000000"/>
                <w:sz w:val="16"/>
                <w:szCs w:val="16"/>
                <w:lang w:eastAsia="es-GT"/>
              </w:rPr>
            </w:pPr>
            <w:r w:rsidRPr="00312323">
              <w:rPr>
                <w:sz w:val="16"/>
                <w:szCs w:val="16"/>
              </w:rPr>
              <w:t>24,908.9</w:t>
            </w:r>
          </w:p>
        </w:tc>
        <w:tc>
          <w:tcPr>
            <w:tcW w:w="861" w:type="dxa"/>
            <w:tcBorders>
              <w:top w:val="nil"/>
              <w:left w:val="dotDash" w:sz="4" w:space="0" w:color="auto"/>
              <w:bottom w:val="nil"/>
              <w:right w:val="nil"/>
            </w:tcBorders>
            <w:shd w:val="clear" w:color="auto" w:fill="auto"/>
            <w:noWrap/>
            <w:hideMark/>
          </w:tcPr>
          <w:p w14:paraId="7A7F7CB0" w14:textId="0DF1E818" w:rsidR="006616A5" w:rsidRPr="00312323" w:rsidRDefault="006616A5" w:rsidP="006616A5">
            <w:pPr>
              <w:jc w:val="center"/>
              <w:rPr>
                <w:rFonts w:eastAsia="Times New Roman" w:cs="Times New Roman"/>
                <w:color w:val="000000"/>
                <w:sz w:val="16"/>
                <w:szCs w:val="16"/>
                <w:lang w:eastAsia="es-GT"/>
              </w:rPr>
            </w:pPr>
            <w:r w:rsidRPr="00312323">
              <w:rPr>
                <w:sz w:val="16"/>
                <w:szCs w:val="16"/>
              </w:rPr>
              <w:t>3,840.8</w:t>
            </w:r>
          </w:p>
        </w:tc>
        <w:tc>
          <w:tcPr>
            <w:tcW w:w="941" w:type="dxa"/>
            <w:tcBorders>
              <w:top w:val="nil"/>
              <w:left w:val="nil"/>
              <w:bottom w:val="nil"/>
              <w:right w:val="nil"/>
            </w:tcBorders>
            <w:shd w:val="clear" w:color="auto" w:fill="auto"/>
            <w:noWrap/>
            <w:hideMark/>
          </w:tcPr>
          <w:p w14:paraId="07DF5F68" w14:textId="7F3FAB2B" w:rsidR="006616A5" w:rsidRPr="00312323" w:rsidRDefault="006616A5" w:rsidP="006616A5">
            <w:pPr>
              <w:jc w:val="center"/>
              <w:rPr>
                <w:rFonts w:eastAsia="Times New Roman" w:cs="Times New Roman"/>
                <w:color w:val="000000"/>
                <w:sz w:val="16"/>
                <w:szCs w:val="16"/>
                <w:lang w:eastAsia="es-GT"/>
              </w:rPr>
            </w:pPr>
            <w:r w:rsidRPr="00312323">
              <w:rPr>
                <w:sz w:val="16"/>
                <w:szCs w:val="16"/>
              </w:rPr>
              <w:t>18.2</w:t>
            </w:r>
          </w:p>
        </w:tc>
        <w:tc>
          <w:tcPr>
            <w:tcW w:w="815" w:type="dxa"/>
            <w:tcBorders>
              <w:top w:val="nil"/>
              <w:left w:val="dotDash" w:sz="4" w:space="0" w:color="auto"/>
              <w:bottom w:val="nil"/>
              <w:right w:val="nil"/>
            </w:tcBorders>
            <w:shd w:val="clear" w:color="auto" w:fill="auto"/>
            <w:vAlign w:val="center"/>
          </w:tcPr>
          <w:p w14:paraId="7EC607D3" w14:textId="688DE3F9" w:rsidR="006616A5" w:rsidRPr="002B75BA" w:rsidRDefault="006616A5" w:rsidP="002B75BA">
            <w:pPr>
              <w:jc w:val="center"/>
              <w:rPr>
                <w:sz w:val="16"/>
                <w:szCs w:val="16"/>
              </w:rPr>
            </w:pPr>
            <w:r w:rsidRPr="002B75BA">
              <w:rPr>
                <w:color w:val="000000"/>
                <w:sz w:val="16"/>
                <w:szCs w:val="16"/>
              </w:rPr>
              <w:t>3.2</w:t>
            </w:r>
          </w:p>
        </w:tc>
        <w:tc>
          <w:tcPr>
            <w:tcW w:w="709" w:type="dxa"/>
            <w:tcBorders>
              <w:top w:val="nil"/>
              <w:left w:val="nil"/>
              <w:bottom w:val="nil"/>
              <w:right w:val="nil"/>
            </w:tcBorders>
            <w:shd w:val="clear" w:color="auto" w:fill="auto"/>
            <w:vAlign w:val="center"/>
          </w:tcPr>
          <w:p w14:paraId="280A3A7F" w14:textId="266FA92A" w:rsidR="006616A5" w:rsidRPr="002B75BA" w:rsidRDefault="006616A5" w:rsidP="002B75BA">
            <w:pPr>
              <w:jc w:val="center"/>
              <w:rPr>
                <w:sz w:val="16"/>
                <w:szCs w:val="16"/>
              </w:rPr>
            </w:pPr>
            <w:r w:rsidRPr="002B75BA">
              <w:rPr>
                <w:color w:val="000000"/>
                <w:sz w:val="16"/>
                <w:szCs w:val="16"/>
              </w:rPr>
              <w:t>3.4</w:t>
            </w:r>
          </w:p>
        </w:tc>
      </w:tr>
      <w:tr w:rsidR="006616A5" w:rsidRPr="00FC4688" w14:paraId="6A4F1395" w14:textId="2D8A8ED3" w:rsidTr="00BB2F7C">
        <w:trPr>
          <w:trHeight w:val="252"/>
          <w:jc w:val="center"/>
        </w:trPr>
        <w:tc>
          <w:tcPr>
            <w:tcW w:w="3164" w:type="dxa"/>
            <w:tcBorders>
              <w:top w:val="nil"/>
              <w:left w:val="nil"/>
              <w:bottom w:val="nil"/>
              <w:right w:val="nil"/>
            </w:tcBorders>
            <w:shd w:val="clear" w:color="auto" w:fill="auto"/>
            <w:noWrap/>
            <w:vAlign w:val="center"/>
            <w:hideMark/>
          </w:tcPr>
          <w:p w14:paraId="1F33979A"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Prestaciones sociales </w:t>
            </w:r>
          </w:p>
        </w:tc>
        <w:tc>
          <w:tcPr>
            <w:tcW w:w="861" w:type="dxa"/>
            <w:tcBorders>
              <w:top w:val="nil"/>
              <w:left w:val="nil"/>
              <w:bottom w:val="nil"/>
              <w:right w:val="nil"/>
            </w:tcBorders>
            <w:shd w:val="clear" w:color="auto" w:fill="auto"/>
            <w:noWrap/>
            <w:hideMark/>
          </w:tcPr>
          <w:p w14:paraId="194B9FBA" w14:textId="520B2E29" w:rsidR="006616A5" w:rsidRPr="00312323" w:rsidRDefault="006616A5" w:rsidP="006616A5">
            <w:pPr>
              <w:jc w:val="center"/>
              <w:rPr>
                <w:rFonts w:eastAsia="Times New Roman" w:cs="Times New Roman"/>
                <w:color w:val="000000"/>
                <w:sz w:val="16"/>
                <w:szCs w:val="16"/>
                <w:lang w:eastAsia="es-GT"/>
              </w:rPr>
            </w:pPr>
            <w:r w:rsidRPr="00312323">
              <w:rPr>
                <w:sz w:val="16"/>
                <w:szCs w:val="16"/>
              </w:rPr>
              <w:t>5,990.5</w:t>
            </w:r>
          </w:p>
        </w:tc>
        <w:tc>
          <w:tcPr>
            <w:tcW w:w="861" w:type="dxa"/>
            <w:tcBorders>
              <w:top w:val="nil"/>
              <w:left w:val="nil"/>
              <w:bottom w:val="nil"/>
              <w:right w:val="nil"/>
            </w:tcBorders>
            <w:shd w:val="clear" w:color="auto" w:fill="auto"/>
            <w:noWrap/>
            <w:hideMark/>
          </w:tcPr>
          <w:p w14:paraId="053B5F91" w14:textId="43466206" w:rsidR="006616A5" w:rsidRPr="00312323" w:rsidRDefault="006616A5" w:rsidP="006616A5">
            <w:pPr>
              <w:jc w:val="center"/>
              <w:rPr>
                <w:rFonts w:eastAsia="Times New Roman" w:cs="Times New Roman"/>
                <w:color w:val="000000"/>
                <w:sz w:val="16"/>
                <w:szCs w:val="16"/>
                <w:lang w:eastAsia="es-GT"/>
              </w:rPr>
            </w:pPr>
            <w:r w:rsidRPr="00312323">
              <w:rPr>
                <w:sz w:val="16"/>
                <w:szCs w:val="16"/>
              </w:rPr>
              <w:t>6,428.6</w:t>
            </w:r>
          </w:p>
        </w:tc>
        <w:tc>
          <w:tcPr>
            <w:tcW w:w="861" w:type="dxa"/>
            <w:tcBorders>
              <w:top w:val="nil"/>
              <w:left w:val="dotDash" w:sz="4" w:space="0" w:color="auto"/>
              <w:bottom w:val="nil"/>
              <w:right w:val="nil"/>
            </w:tcBorders>
            <w:shd w:val="clear" w:color="auto" w:fill="auto"/>
            <w:noWrap/>
            <w:hideMark/>
          </w:tcPr>
          <w:p w14:paraId="51CDEB9B" w14:textId="62C7055B" w:rsidR="006616A5" w:rsidRPr="00312323" w:rsidRDefault="006616A5" w:rsidP="006616A5">
            <w:pPr>
              <w:jc w:val="center"/>
              <w:rPr>
                <w:rFonts w:eastAsia="Times New Roman" w:cs="Times New Roman"/>
                <w:color w:val="000000"/>
                <w:sz w:val="16"/>
                <w:szCs w:val="16"/>
                <w:lang w:eastAsia="es-GT"/>
              </w:rPr>
            </w:pPr>
            <w:r w:rsidRPr="00312323">
              <w:rPr>
                <w:sz w:val="16"/>
                <w:szCs w:val="16"/>
              </w:rPr>
              <w:t>438.1</w:t>
            </w:r>
          </w:p>
        </w:tc>
        <w:tc>
          <w:tcPr>
            <w:tcW w:w="941" w:type="dxa"/>
            <w:tcBorders>
              <w:top w:val="nil"/>
              <w:left w:val="nil"/>
              <w:bottom w:val="nil"/>
              <w:right w:val="nil"/>
            </w:tcBorders>
            <w:shd w:val="clear" w:color="auto" w:fill="auto"/>
            <w:noWrap/>
            <w:hideMark/>
          </w:tcPr>
          <w:p w14:paraId="63D48068" w14:textId="19F0C4D1" w:rsidR="006616A5" w:rsidRPr="00312323" w:rsidRDefault="006616A5" w:rsidP="006616A5">
            <w:pPr>
              <w:jc w:val="center"/>
              <w:rPr>
                <w:rFonts w:eastAsia="Times New Roman" w:cs="Times New Roman"/>
                <w:color w:val="000000"/>
                <w:sz w:val="16"/>
                <w:szCs w:val="16"/>
                <w:lang w:eastAsia="es-GT"/>
              </w:rPr>
            </w:pPr>
            <w:r w:rsidRPr="00312323">
              <w:rPr>
                <w:sz w:val="16"/>
                <w:szCs w:val="16"/>
              </w:rPr>
              <w:t>7.3</w:t>
            </w:r>
          </w:p>
        </w:tc>
        <w:tc>
          <w:tcPr>
            <w:tcW w:w="815" w:type="dxa"/>
            <w:tcBorders>
              <w:top w:val="nil"/>
              <w:left w:val="dotDash" w:sz="4" w:space="0" w:color="auto"/>
              <w:bottom w:val="nil"/>
              <w:right w:val="nil"/>
            </w:tcBorders>
            <w:shd w:val="clear" w:color="auto" w:fill="auto"/>
            <w:vAlign w:val="center"/>
          </w:tcPr>
          <w:p w14:paraId="2D49F037" w14:textId="24B984B4" w:rsidR="006616A5" w:rsidRPr="002B75BA" w:rsidRDefault="006616A5" w:rsidP="002B75BA">
            <w:pPr>
              <w:jc w:val="center"/>
              <w:rPr>
                <w:sz w:val="16"/>
                <w:szCs w:val="16"/>
              </w:rPr>
            </w:pPr>
            <w:r w:rsidRPr="002B75BA">
              <w:rPr>
                <w:color w:val="000000"/>
                <w:sz w:val="16"/>
                <w:szCs w:val="16"/>
              </w:rPr>
              <w:t>0.9</w:t>
            </w:r>
          </w:p>
        </w:tc>
        <w:tc>
          <w:tcPr>
            <w:tcW w:w="709" w:type="dxa"/>
            <w:tcBorders>
              <w:top w:val="nil"/>
              <w:left w:val="nil"/>
              <w:bottom w:val="nil"/>
              <w:right w:val="nil"/>
            </w:tcBorders>
            <w:shd w:val="clear" w:color="auto" w:fill="auto"/>
            <w:vAlign w:val="center"/>
          </w:tcPr>
          <w:p w14:paraId="3795FF35" w14:textId="7C24BC10" w:rsidR="006616A5" w:rsidRPr="002B75BA" w:rsidRDefault="006616A5" w:rsidP="002B75BA">
            <w:pPr>
              <w:jc w:val="center"/>
              <w:rPr>
                <w:sz w:val="16"/>
                <w:szCs w:val="16"/>
              </w:rPr>
            </w:pPr>
            <w:r w:rsidRPr="002B75BA">
              <w:rPr>
                <w:color w:val="000000"/>
                <w:sz w:val="16"/>
                <w:szCs w:val="16"/>
              </w:rPr>
              <w:t>0.9</w:t>
            </w:r>
          </w:p>
        </w:tc>
      </w:tr>
      <w:tr w:rsidR="006616A5" w:rsidRPr="00FC4688" w14:paraId="2C09391E" w14:textId="60780AB2" w:rsidTr="00BB2F7C">
        <w:trPr>
          <w:trHeight w:val="252"/>
          <w:jc w:val="center"/>
        </w:trPr>
        <w:tc>
          <w:tcPr>
            <w:tcW w:w="3164" w:type="dxa"/>
            <w:tcBorders>
              <w:top w:val="nil"/>
              <w:left w:val="nil"/>
              <w:bottom w:val="nil"/>
              <w:right w:val="nil"/>
            </w:tcBorders>
            <w:shd w:val="clear" w:color="auto" w:fill="auto"/>
            <w:noWrap/>
            <w:vAlign w:val="center"/>
            <w:hideMark/>
          </w:tcPr>
          <w:p w14:paraId="76AF3A5B" w14:textId="77777777" w:rsidR="006616A5" w:rsidRPr="00FC4688" w:rsidRDefault="006616A5" w:rsidP="006616A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Otros gastos </w:t>
            </w:r>
          </w:p>
        </w:tc>
        <w:tc>
          <w:tcPr>
            <w:tcW w:w="861" w:type="dxa"/>
            <w:tcBorders>
              <w:top w:val="nil"/>
              <w:left w:val="nil"/>
              <w:bottom w:val="nil"/>
              <w:right w:val="nil"/>
            </w:tcBorders>
            <w:shd w:val="clear" w:color="auto" w:fill="auto"/>
            <w:noWrap/>
            <w:hideMark/>
          </w:tcPr>
          <w:p w14:paraId="3B5E9F3C" w14:textId="5E5F2D09" w:rsidR="006616A5" w:rsidRPr="00312323" w:rsidRDefault="006616A5" w:rsidP="006616A5">
            <w:pPr>
              <w:jc w:val="center"/>
              <w:rPr>
                <w:rFonts w:eastAsia="Times New Roman" w:cs="Times New Roman"/>
                <w:color w:val="000000"/>
                <w:sz w:val="16"/>
                <w:szCs w:val="16"/>
                <w:lang w:eastAsia="es-GT"/>
              </w:rPr>
            </w:pPr>
            <w:r w:rsidRPr="00312323">
              <w:rPr>
                <w:sz w:val="16"/>
                <w:szCs w:val="16"/>
              </w:rPr>
              <w:t>5,279.2</w:t>
            </w:r>
          </w:p>
        </w:tc>
        <w:tc>
          <w:tcPr>
            <w:tcW w:w="861" w:type="dxa"/>
            <w:tcBorders>
              <w:top w:val="nil"/>
              <w:left w:val="nil"/>
              <w:bottom w:val="nil"/>
              <w:right w:val="nil"/>
            </w:tcBorders>
            <w:shd w:val="clear" w:color="auto" w:fill="auto"/>
            <w:noWrap/>
            <w:hideMark/>
          </w:tcPr>
          <w:p w14:paraId="380F831C" w14:textId="7D70C0CD" w:rsidR="006616A5" w:rsidRPr="00312323" w:rsidRDefault="006616A5" w:rsidP="006616A5">
            <w:pPr>
              <w:jc w:val="center"/>
              <w:rPr>
                <w:rFonts w:eastAsia="Times New Roman" w:cs="Times New Roman"/>
                <w:color w:val="000000"/>
                <w:sz w:val="16"/>
                <w:szCs w:val="16"/>
                <w:lang w:eastAsia="es-GT"/>
              </w:rPr>
            </w:pPr>
            <w:r w:rsidRPr="00312323">
              <w:rPr>
                <w:sz w:val="16"/>
                <w:szCs w:val="16"/>
              </w:rPr>
              <w:t>7,490.4</w:t>
            </w:r>
          </w:p>
        </w:tc>
        <w:tc>
          <w:tcPr>
            <w:tcW w:w="861" w:type="dxa"/>
            <w:tcBorders>
              <w:top w:val="nil"/>
              <w:left w:val="dotDash" w:sz="4" w:space="0" w:color="auto"/>
              <w:bottom w:val="nil"/>
              <w:right w:val="nil"/>
            </w:tcBorders>
            <w:shd w:val="clear" w:color="auto" w:fill="auto"/>
            <w:noWrap/>
            <w:hideMark/>
          </w:tcPr>
          <w:p w14:paraId="4625997F" w14:textId="73D008E2" w:rsidR="006616A5" w:rsidRPr="00312323" w:rsidRDefault="006616A5" w:rsidP="006616A5">
            <w:pPr>
              <w:jc w:val="center"/>
              <w:rPr>
                <w:rFonts w:eastAsia="Times New Roman" w:cs="Times New Roman"/>
                <w:color w:val="000000"/>
                <w:sz w:val="16"/>
                <w:szCs w:val="16"/>
                <w:lang w:eastAsia="es-GT"/>
              </w:rPr>
            </w:pPr>
            <w:r w:rsidRPr="00312323">
              <w:rPr>
                <w:sz w:val="16"/>
                <w:szCs w:val="16"/>
              </w:rPr>
              <w:t>2,211.3</w:t>
            </w:r>
          </w:p>
        </w:tc>
        <w:tc>
          <w:tcPr>
            <w:tcW w:w="941" w:type="dxa"/>
            <w:tcBorders>
              <w:top w:val="nil"/>
              <w:left w:val="nil"/>
              <w:bottom w:val="nil"/>
              <w:right w:val="nil"/>
            </w:tcBorders>
            <w:shd w:val="clear" w:color="auto" w:fill="auto"/>
            <w:noWrap/>
            <w:hideMark/>
          </w:tcPr>
          <w:p w14:paraId="2B7E6C30" w14:textId="6B125E5C" w:rsidR="006616A5" w:rsidRPr="00312323" w:rsidRDefault="006616A5" w:rsidP="006616A5">
            <w:pPr>
              <w:jc w:val="center"/>
              <w:rPr>
                <w:rFonts w:eastAsia="Times New Roman" w:cs="Times New Roman"/>
                <w:color w:val="000000"/>
                <w:sz w:val="16"/>
                <w:szCs w:val="16"/>
                <w:lang w:eastAsia="es-GT"/>
              </w:rPr>
            </w:pPr>
            <w:r w:rsidRPr="00312323">
              <w:rPr>
                <w:sz w:val="16"/>
                <w:szCs w:val="16"/>
              </w:rPr>
              <w:t>41.9</w:t>
            </w:r>
          </w:p>
        </w:tc>
        <w:tc>
          <w:tcPr>
            <w:tcW w:w="815" w:type="dxa"/>
            <w:tcBorders>
              <w:top w:val="nil"/>
              <w:left w:val="dotDash" w:sz="4" w:space="0" w:color="auto"/>
              <w:bottom w:val="nil"/>
              <w:right w:val="nil"/>
            </w:tcBorders>
            <w:shd w:val="clear" w:color="auto" w:fill="auto"/>
            <w:vAlign w:val="center"/>
          </w:tcPr>
          <w:p w14:paraId="5E74F857" w14:textId="284FA760" w:rsidR="006616A5" w:rsidRPr="002B75BA" w:rsidRDefault="006616A5" w:rsidP="002B75BA">
            <w:pPr>
              <w:jc w:val="center"/>
              <w:rPr>
                <w:sz w:val="16"/>
                <w:szCs w:val="16"/>
              </w:rPr>
            </w:pPr>
            <w:r w:rsidRPr="002B75BA">
              <w:rPr>
                <w:color w:val="000000"/>
                <w:sz w:val="16"/>
                <w:szCs w:val="16"/>
              </w:rPr>
              <w:t>0.8</w:t>
            </w:r>
          </w:p>
        </w:tc>
        <w:tc>
          <w:tcPr>
            <w:tcW w:w="709" w:type="dxa"/>
            <w:tcBorders>
              <w:top w:val="nil"/>
              <w:left w:val="nil"/>
              <w:bottom w:val="nil"/>
              <w:right w:val="nil"/>
            </w:tcBorders>
            <w:shd w:val="clear" w:color="auto" w:fill="auto"/>
            <w:vAlign w:val="center"/>
          </w:tcPr>
          <w:p w14:paraId="783F3649" w14:textId="12D4E791" w:rsidR="006616A5" w:rsidRPr="002B75BA" w:rsidRDefault="006616A5" w:rsidP="002B75BA">
            <w:pPr>
              <w:jc w:val="center"/>
              <w:rPr>
                <w:sz w:val="16"/>
                <w:szCs w:val="16"/>
              </w:rPr>
            </w:pPr>
            <w:r w:rsidRPr="002B75BA">
              <w:rPr>
                <w:color w:val="000000"/>
                <w:sz w:val="16"/>
                <w:szCs w:val="16"/>
              </w:rPr>
              <w:t>1.0</w:t>
            </w:r>
          </w:p>
        </w:tc>
      </w:tr>
      <w:tr w:rsidR="006616A5" w:rsidRPr="00FC4688" w14:paraId="4035D0FD" w14:textId="5440332B" w:rsidTr="00BB2F7C">
        <w:trPr>
          <w:trHeight w:val="252"/>
          <w:jc w:val="center"/>
        </w:trPr>
        <w:tc>
          <w:tcPr>
            <w:tcW w:w="3164" w:type="dxa"/>
            <w:tcBorders>
              <w:top w:val="nil"/>
              <w:left w:val="nil"/>
              <w:bottom w:val="nil"/>
              <w:right w:val="nil"/>
            </w:tcBorders>
            <w:shd w:val="clear" w:color="auto" w:fill="auto"/>
            <w:noWrap/>
            <w:vAlign w:val="center"/>
            <w:hideMark/>
          </w:tcPr>
          <w:p w14:paraId="78E0F8E7" w14:textId="77777777" w:rsidR="006616A5" w:rsidRPr="00FC4688" w:rsidRDefault="006616A5" w:rsidP="006616A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Operativo Primario</w:t>
            </w:r>
          </w:p>
        </w:tc>
        <w:tc>
          <w:tcPr>
            <w:tcW w:w="861" w:type="dxa"/>
            <w:tcBorders>
              <w:top w:val="nil"/>
              <w:left w:val="nil"/>
              <w:bottom w:val="nil"/>
              <w:right w:val="nil"/>
            </w:tcBorders>
            <w:shd w:val="clear" w:color="auto" w:fill="auto"/>
            <w:noWrap/>
            <w:hideMark/>
          </w:tcPr>
          <w:p w14:paraId="69B9C148" w14:textId="300644C5"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7,460.3</w:t>
            </w:r>
          </w:p>
        </w:tc>
        <w:tc>
          <w:tcPr>
            <w:tcW w:w="861" w:type="dxa"/>
            <w:tcBorders>
              <w:top w:val="nil"/>
              <w:left w:val="nil"/>
              <w:bottom w:val="nil"/>
              <w:right w:val="nil"/>
            </w:tcBorders>
            <w:shd w:val="clear" w:color="auto" w:fill="auto"/>
            <w:noWrap/>
            <w:hideMark/>
          </w:tcPr>
          <w:p w14:paraId="1638E1AB" w14:textId="500BA462"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4,078.2</w:t>
            </w:r>
          </w:p>
        </w:tc>
        <w:tc>
          <w:tcPr>
            <w:tcW w:w="861" w:type="dxa"/>
            <w:tcBorders>
              <w:top w:val="nil"/>
              <w:left w:val="dotDash" w:sz="4" w:space="0" w:color="auto"/>
              <w:bottom w:val="nil"/>
              <w:right w:val="nil"/>
            </w:tcBorders>
            <w:shd w:val="clear" w:color="auto" w:fill="auto"/>
            <w:noWrap/>
            <w:hideMark/>
          </w:tcPr>
          <w:p w14:paraId="1F360FED" w14:textId="567017F3"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-3,382.1</w:t>
            </w:r>
          </w:p>
        </w:tc>
        <w:tc>
          <w:tcPr>
            <w:tcW w:w="941" w:type="dxa"/>
            <w:tcBorders>
              <w:top w:val="nil"/>
              <w:left w:val="nil"/>
              <w:bottom w:val="nil"/>
              <w:right w:val="nil"/>
            </w:tcBorders>
            <w:shd w:val="clear" w:color="auto" w:fill="auto"/>
            <w:noWrap/>
            <w:hideMark/>
          </w:tcPr>
          <w:p w14:paraId="780DB06A" w14:textId="12ECA082"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-45.3</w:t>
            </w:r>
          </w:p>
        </w:tc>
        <w:tc>
          <w:tcPr>
            <w:tcW w:w="815" w:type="dxa"/>
            <w:tcBorders>
              <w:top w:val="nil"/>
              <w:left w:val="dotDash" w:sz="4" w:space="0" w:color="auto"/>
              <w:bottom w:val="nil"/>
              <w:right w:val="nil"/>
            </w:tcBorders>
            <w:shd w:val="clear" w:color="auto" w:fill="auto"/>
            <w:vAlign w:val="center"/>
          </w:tcPr>
          <w:p w14:paraId="0E800C11" w14:textId="0CC4696A" w:rsidR="006616A5" w:rsidRPr="002B75BA" w:rsidRDefault="006616A5" w:rsidP="002B75BA">
            <w:pPr>
              <w:jc w:val="center"/>
              <w:rPr>
                <w:b/>
                <w:bCs/>
                <w:sz w:val="16"/>
                <w:szCs w:val="16"/>
              </w:rPr>
            </w:pPr>
            <w:r w:rsidRPr="002B75BA">
              <w:rPr>
                <w:b/>
                <w:bCs/>
                <w:color w:val="000000"/>
                <w:sz w:val="16"/>
                <w:szCs w:val="16"/>
              </w:rPr>
              <w:t>1.1</w:t>
            </w:r>
          </w:p>
        </w:tc>
        <w:tc>
          <w:tcPr>
            <w:tcW w:w="709" w:type="dxa"/>
            <w:tcBorders>
              <w:top w:val="nil"/>
              <w:left w:val="nil"/>
              <w:bottom w:val="nil"/>
              <w:right w:val="nil"/>
            </w:tcBorders>
            <w:shd w:val="clear" w:color="auto" w:fill="auto"/>
            <w:vAlign w:val="center"/>
          </w:tcPr>
          <w:p w14:paraId="3DF7E6B1" w14:textId="660CC2C6" w:rsidR="006616A5" w:rsidRPr="002B75BA" w:rsidRDefault="006616A5" w:rsidP="002B75BA">
            <w:pPr>
              <w:jc w:val="center"/>
              <w:rPr>
                <w:b/>
                <w:bCs/>
                <w:sz w:val="16"/>
                <w:szCs w:val="16"/>
              </w:rPr>
            </w:pPr>
            <w:r w:rsidRPr="002B75BA">
              <w:rPr>
                <w:b/>
                <w:bCs/>
                <w:color w:val="000000"/>
                <w:sz w:val="16"/>
                <w:szCs w:val="16"/>
              </w:rPr>
              <w:t>0.6</w:t>
            </w:r>
          </w:p>
        </w:tc>
      </w:tr>
      <w:tr w:rsidR="006616A5" w:rsidRPr="00FC4688" w14:paraId="2491D8E0" w14:textId="222F1EA7" w:rsidTr="00BB2F7C">
        <w:trPr>
          <w:trHeight w:val="264"/>
          <w:jc w:val="center"/>
        </w:trPr>
        <w:tc>
          <w:tcPr>
            <w:tcW w:w="3164" w:type="dxa"/>
            <w:tcBorders>
              <w:top w:val="nil"/>
              <w:left w:val="nil"/>
              <w:bottom w:val="nil"/>
              <w:right w:val="nil"/>
            </w:tcBorders>
            <w:shd w:val="clear" w:color="auto" w:fill="auto"/>
            <w:noWrap/>
            <w:vAlign w:val="center"/>
            <w:hideMark/>
          </w:tcPr>
          <w:p w14:paraId="6B9F44C3" w14:textId="77777777" w:rsidR="006616A5" w:rsidRPr="00FC4688" w:rsidRDefault="006616A5" w:rsidP="006616A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Operativo</w:t>
            </w:r>
          </w:p>
        </w:tc>
        <w:tc>
          <w:tcPr>
            <w:tcW w:w="861" w:type="dxa"/>
            <w:tcBorders>
              <w:top w:val="nil"/>
              <w:left w:val="nil"/>
              <w:bottom w:val="nil"/>
              <w:right w:val="nil"/>
            </w:tcBorders>
            <w:shd w:val="clear" w:color="auto" w:fill="auto"/>
            <w:noWrap/>
            <w:hideMark/>
          </w:tcPr>
          <w:p w14:paraId="581DD849" w14:textId="290972E9"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-3,934.3</w:t>
            </w:r>
          </w:p>
        </w:tc>
        <w:tc>
          <w:tcPr>
            <w:tcW w:w="861" w:type="dxa"/>
            <w:tcBorders>
              <w:top w:val="nil"/>
              <w:left w:val="nil"/>
              <w:bottom w:val="nil"/>
              <w:right w:val="nil"/>
            </w:tcBorders>
            <w:shd w:val="clear" w:color="auto" w:fill="auto"/>
            <w:noWrap/>
            <w:hideMark/>
          </w:tcPr>
          <w:p w14:paraId="0BFF54A5" w14:textId="51122922"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-8,042.3</w:t>
            </w:r>
          </w:p>
        </w:tc>
        <w:tc>
          <w:tcPr>
            <w:tcW w:w="861" w:type="dxa"/>
            <w:tcBorders>
              <w:top w:val="nil"/>
              <w:left w:val="dotDash" w:sz="4" w:space="0" w:color="auto"/>
              <w:bottom w:val="nil"/>
              <w:right w:val="nil"/>
            </w:tcBorders>
            <w:shd w:val="clear" w:color="auto" w:fill="auto"/>
            <w:noWrap/>
            <w:hideMark/>
          </w:tcPr>
          <w:p w14:paraId="5D5EF589" w14:textId="42C6F08E"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-4,108.1</w:t>
            </w:r>
          </w:p>
        </w:tc>
        <w:tc>
          <w:tcPr>
            <w:tcW w:w="941" w:type="dxa"/>
            <w:tcBorders>
              <w:top w:val="nil"/>
              <w:left w:val="nil"/>
              <w:bottom w:val="nil"/>
              <w:right w:val="nil"/>
            </w:tcBorders>
            <w:shd w:val="clear" w:color="auto" w:fill="auto"/>
            <w:noWrap/>
            <w:hideMark/>
          </w:tcPr>
          <w:p w14:paraId="1EFE806F" w14:textId="675AF6C8" w:rsidR="006616A5" w:rsidRPr="00312323" w:rsidRDefault="006616A5" w:rsidP="006616A5">
            <w:pPr>
              <w:jc w:val="center"/>
              <w:rPr>
                <w:rFonts w:eastAsia="Times New Roman" w:cs="Times New Roman"/>
                <w:b/>
                <w:bCs/>
                <w:color w:val="000000"/>
                <w:sz w:val="16"/>
                <w:szCs w:val="16"/>
                <w:lang w:eastAsia="es-GT"/>
              </w:rPr>
            </w:pPr>
            <w:r w:rsidRPr="00312323">
              <w:rPr>
                <w:b/>
                <w:bCs/>
                <w:sz w:val="16"/>
                <w:szCs w:val="16"/>
              </w:rPr>
              <w:t>104.4</w:t>
            </w:r>
          </w:p>
        </w:tc>
        <w:tc>
          <w:tcPr>
            <w:tcW w:w="815" w:type="dxa"/>
            <w:tcBorders>
              <w:top w:val="nil"/>
              <w:left w:val="dotDash" w:sz="4" w:space="0" w:color="auto"/>
              <w:bottom w:val="nil"/>
              <w:right w:val="nil"/>
            </w:tcBorders>
            <w:shd w:val="clear" w:color="auto" w:fill="auto"/>
            <w:vAlign w:val="center"/>
          </w:tcPr>
          <w:p w14:paraId="7DB44EDF" w14:textId="129919C6" w:rsidR="006616A5" w:rsidRPr="002B75BA" w:rsidRDefault="006616A5" w:rsidP="002B75BA">
            <w:pPr>
              <w:jc w:val="center"/>
              <w:rPr>
                <w:b/>
                <w:bCs/>
                <w:sz w:val="16"/>
                <w:szCs w:val="16"/>
              </w:rPr>
            </w:pPr>
            <w:r w:rsidRPr="002B75BA">
              <w:rPr>
                <w:b/>
                <w:bCs/>
                <w:sz w:val="16"/>
                <w:szCs w:val="16"/>
              </w:rPr>
              <w:t>-0.6</w:t>
            </w:r>
          </w:p>
        </w:tc>
        <w:tc>
          <w:tcPr>
            <w:tcW w:w="709" w:type="dxa"/>
            <w:tcBorders>
              <w:top w:val="nil"/>
              <w:left w:val="nil"/>
              <w:bottom w:val="nil"/>
              <w:right w:val="nil"/>
            </w:tcBorders>
            <w:shd w:val="clear" w:color="auto" w:fill="auto"/>
            <w:vAlign w:val="center"/>
          </w:tcPr>
          <w:p w14:paraId="04B7C0AB" w14:textId="167E6D5D" w:rsidR="006616A5" w:rsidRPr="002B75BA" w:rsidRDefault="006616A5" w:rsidP="002B75BA">
            <w:pPr>
              <w:jc w:val="center"/>
              <w:rPr>
                <w:b/>
                <w:bCs/>
                <w:sz w:val="16"/>
                <w:szCs w:val="16"/>
              </w:rPr>
            </w:pPr>
            <w:r w:rsidRPr="002B75BA">
              <w:rPr>
                <w:b/>
                <w:bCs/>
                <w:sz w:val="16"/>
                <w:szCs w:val="16"/>
              </w:rPr>
              <w:t>-1.1</w:t>
            </w:r>
          </w:p>
        </w:tc>
      </w:tr>
      <w:tr w:rsidR="00676C85" w:rsidRPr="00FC4688" w14:paraId="6567B959" w14:textId="34BF3C53" w:rsidTr="00BB2F7C">
        <w:trPr>
          <w:trHeight w:val="264"/>
          <w:jc w:val="center"/>
        </w:trPr>
        <w:tc>
          <w:tcPr>
            <w:tcW w:w="6688" w:type="dxa"/>
            <w:gridSpan w:val="5"/>
            <w:tcBorders>
              <w:top w:val="single" w:sz="8" w:space="0" w:color="auto"/>
              <w:left w:val="nil"/>
              <w:bottom w:val="double" w:sz="6" w:space="0" w:color="auto"/>
              <w:right w:val="nil"/>
            </w:tcBorders>
            <w:shd w:val="clear" w:color="auto" w:fill="auto"/>
            <w:noWrap/>
            <w:vAlign w:val="center"/>
            <w:hideMark/>
          </w:tcPr>
          <w:p w14:paraId="0A39C5D9" w14:textId="77777777" w:rsidR="00676C85" w:rsidRPr="00FC4688" w:rsidRDefault="00676C85" w:rsidP="003E4789">
            <w:pPr>
              <w:rPr>
                <w:rFonts w:eastAsia="Times New Roman" w:cs="Times New Roman"/>
                <w:color w:val="4472C4"/>
                <w:sz w:val="18"/>
                <w:szCs w:val="18"/>
                <w:lang w:eastAsia="es-GT"/>
              </w:rPr>
            </w:pPr>
            <w:r w:rsidRPr="00FC4688">
              <w:rPr>
                <w:rFonts w:eastAsia="Times New Roman" w:cs="Times New Roman"/>
                <w:color w:val="4472C4"/>
                <w:sz w:val="18"/>
                <w:szCs w:val="18"/>
                <w:lang w:eastAsia="es-GT"/>
              </w:rPr>
              <w:t>TRANSACCIONES EN ACTIVOS NO FINANCIEROS</w:t>
            </w:r>
          </w:p>
        </w:tc>
        <w:tc>
          <w:tcPr>
            <w:tcW w:w="815" w:type="dxa"/>
            <w:tcBorders>
              <w:top w:val="single" w:sz="8" w:space="0" w:color="auto"/>
              <w:left w:val="nil"/>
              <w:bottom w:val="double" w:sz="6" w:space="0" w:color="auto"/>
              <w:right w:val="nil"/>
            </w:tcBorders>
            <w:vAlign w:val="center"/>
          </w:tcPr>
          <w:p w14:paraId="16DD95D1" w14:textId="77777777" w:rsidR="00676C85" w:rsidRPr="002B75BA" w:rsidRDefault="00676C85" w:rsidP="002B75BA">
            <w:pPr>
              <w:jc w:val="center"/>
              <w:rPr>
                <w:rFonts w:eastAsia="Times New Roman" w:cs="Times New Roman"/>
                <w:color w:val="4472C4"/>
                <w:sz w:val="16"/>
                <w:szCs w:val="16"/>
                <w:lang w:eastAsia="es-GT"/>
              </w:rPr>
            </w:pPr>
          </w:p>
        </w:tc>
        <w:tc>
          <w:tcPr>
            <w:tcW w:w="709" w:type="dxa"/>
            <w:tcBorders>
              <w:top w:val="single" w:sz="8" w:space="0" w:color="auto"/>
              <w:left w:val="nil"/>
              <w:bottom w:val="double" w:sz="6" w:space="0" w:color="auto"/>
              <w:right w:val="nil"/>
            </w:tcBorders>
            <w:vAlign w:val="center"/>
          </w:tcPr>
          <w:p w14:paraId="277A0E0D" w14:textId="77777777" w:rsidR="00676C85" w:rsidRPr="002B75BA" w:rsidRDefault="00676C85" w:rsidP="002B75BA">
            <w:pPr>
              <w:jc w:val="center"/>
              <w:rPr>
                <w:rFonts w:eastAsia="Times New Roman" w:cs="Times New Roman"/>
                <w:color w:val="4472C4"/>
                <w:sz w:val="16"/>
                <w:szCs w:val="16"/>
                <w:lang w:eastAsia="es-GT"/>
              </w:rPr>
            </w:pPr>
          </w:p>
        </w:tc>
      </w:tr>
      <w:tr w:rsidR="005747F1" w:rsidRPr="00FC4688" w14:paraId="084D0011" w14:textId="277EE412" w:rsidTr="00BB2F7C">
        <w:trPr>
          <w:trHeight w:val="264"/>
          <w:jc w:val="center"/>
        </w:trPr>
        <w:tc>
          <w:tcPr>
            <w:tcW w:w="3164" w:type="dxa"/>
            <w:tcBorders>
              <w:top w:val="nil"/>
              <w:left w:val="nil"/>
              <w:bottom w:val="nil"/>
              <w:right w:val="nil"/>
            </w:tcBorders>
            <w:shd w:val="clear" w:color="auto" w:fill="auto"/>
            <w:noWrap/>
            <w:vAlign w:val="center"/>
            <w:hideMark/>
          </w:tcPr>
          <w:p w14:paraId="573E68EB" w14:textId="77777777" w:rsidR="005747F1" w:rsidRPr="00FC4688" w:rsidRDefault="005747F1" w:rsidP="005747F1">
            <w:pPr>
              <w:rPr>
                <w:rFonts w:eastAsia="Times New Roman" w:cs="Times New Roman"/>
                <w:color w:val="000000"/>
                <w:sz w:val="16"/>
                <w:szCs w:val="16"/>
                <w:lang w:eastAsia="es-GT"/>
              </w:rPr>
            </w:pPr>
            <w:r w:rsidRPr="00FC4688">
              <w:rPr>
                <w:rFonts w:eastAsia="Times New Roman" w:cs="Times New Roman"/>
                <w:color w:val="000000"/>
                <w:sz w:val="16"/>
                <w:szCs w:val="16"/>
                <w:lang w:eastAsia="es-GT"/>
              </w:rPr>
              <w:t>Inversión bruta en activos no financieros</w:t>
            </w:r>
          </w:p>
        </w:tc>
        <w:tc>
          <w:tcPr>
            <w:tcW w:w="861" w:type="dxa"/>
            <w:tcBorders>
              <w:top w:val="nil"/>
              <w:left w:val="nil"/>
              <w:bottom w:val="nil"/>
              <w:right w:val="nil"/>
            </w:tcBorders>
            <w:shd w:val="clear" w:color="auto" w:fill="auto"/>
            <w:noWrap/>
            <w:vAlign w:val="center"/>
            <w:hideMark/>
          </w:tcPr>
          <w:p w14:paraId="104BD431" w14:textId="0E023AC6"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3,748.9</w:t>
            </w:r>
          </w:p>
        </w:tc>
        <w:tc>
          <w:tcPr>
            <w:tcW w:w="861" w:type="dxa"/>
            <w:tcBorders>
              <w:top w:val="nil"/>
              <w:left w:val="nil"/>
              <w:bottom w:val="nil"/>
              <w:right w:val="nil"/>
            </w:tcBorders>
            <w:shd w:val="clear" w:color="auto" w:fill="auto"/>
            <w:noWrap/>
            <w:vAlign w:val="center"/>
            <w:hideMark/>
          </w:tcPr>
          <w:p w14:paraId="481826F4" w14:textId="2E23D4D8"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4,622.8</w:t>
            </w:r>
          </w:p>
        </w:tc>
        <w:tc>
          <w:tcPr>
            <w:tcW w:w="861" w:type="dxa"/>
            <w:tcBorders>
              <w:top w:val="double" w:sz="6" w:space="0" w:color="auto"/>
              <w:left w:val="dotDash" w:sz="4" w:space="0" w:color="auto"/>
              <w:bottom w:val="nil"/>
              <w:right w:val="nil"/>
            </w:tcBorders>
            <w:shd w:val="clear" w:color="auto" w:fill="auto"/>
            <w:noWrap/>
            <w:vAlign w:val="center"/>
            <w:hideMark/>
          </w:tcPr>
          <w:p w14:paraId="619B3F99" w14:textId="0684C207"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873.9</w:t>
            </w:r>
          </w:p>
        </w:tc>
        <w:tc>
          <w:tcPr>
            <w:tcW w:w="941" w:type="dxa"/>
            <w:tcBorders>
              <w:top w:val="nil"/>
              <w:left w:val="nil"/>
              <w:bottom w:val="nil"/>
              <w:right w:val="nil"/>
            </w:tcBorders>
            <w:shd w:val="clear" w:color="auto" w:fill="auto"/>
            <w:noWrap/>
            <w:vAlign w:val="center"/>
            <w:hideMark/>
          </w:tcPr>
          <w:p w14:paraId="1BE3AC12" w14:textId="587B8991"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23.3</w:t>
            </w:r>
          </w:p>
        </w:tc>
        <w:tc>
          <w:tcPr>
            <w:tcW w:w="815" w:type="dxa"/>
            <w:tcBorders>
              <w:top w:val="double" w:sz="6" w:space="0" w:color="auto"/>
              <w:left w:val="dotDash" w:sz="4" w:space="0" w:color="auto"/>
              <w:bottom w:val="nil"/>
              <w:right w:val="nil"/>
            </w:tcBorders>
            <w:shd w:val="clear" w:color="auto" w:fill="auto"/>
            <w:vAlign w:val="center"/>
          </w:tcPr>
          <w:p w14:paraId="7F218B26" w14:textId="5C1F4D3C" w:rsidR="005747F1" w:rsidRPr="002B75BA" w:rsidRDefault="005747F1" w:rsidP="002B75BA">
            <w:pPr>
              <w:jc w:val="center"/>
              <w:rPr>
                <w:color w:val="000000"/>
                <w:sz w:val="16"/>
                <w:szCs w:val="16"/>
              </w:rPr>
            </w:pPr>
            <w:r w:rsidRPr="002B75BA">
              <w:rPr>
                <w:color w:val="000000"/>
                <w:sz w:val="16"/>
                <w:szCs w:val="16"/>
              </w:rPr>
              <w:t>0.6</w:t>
            </w:r>
          </w:p>
        </w:tc>
        <w:tc>
          <w:tcPr>
            <w:tcW w:w="709" w:type="dxa"/>
            <w:tcBorders>
              <w:top w:val="nil"/>
              <w:left w:val="nil"/>
              <w:bottom w:val="nil"/>
              <w:right w:val="nil"/>
            </w:tcBorders>
            <w:shd w:val="clear" w:color="auto" w:fill="auto"/>
            <w:vAlign w:val="center"/>
          </w:tcPr>
          <w:p w14:paraId="4A0047F4" w14:textId="37E2E039" w:rsidR="005747F1" w:rsidRPr="002B75BA" w:rsidRDefault="005747F1" w:rsidP="002B75BA">
            <w:pPr>
              <w:jc w:val="center"/>
              <w:rPr>
                <w:color w:val="000000"/>
                <w:sz w:val="16"/>
                <w:szCs w:val="16"/>
              </w:rPr>
            </w:pPr>
            <w:r w:rsidRPr="002B75BA">
              <w:rPr>
                <w:color w:val="000000"/>
                <w:sz w:val="16"/>
                <w:szCs w:val="16"/>
              </w:rPr>
              <w:t>0.6</w:t>
            </w:r>
          </w:p>
        </w:tc>
      </w:tr>
      <w:tr w:rsidR="005747F1" w:rsidRPr="00FC4688" w14:paraId="5A8D5892" w14:textId="5C3FC364" w:rsidTr="00BB2F7C">
        <w:trPr>
          <w:trHeight w:val="252"/>
          <w:jc w:val="center"/>
        </w:trPr>
        <w:tc>
          <w:tcPr>
            <w:tcW w:w="3164" w:type="dxa"/>
            <w:tcBorders>
              <w:top w:val="nil"/>
              <w:left w:val="nil"/>
              <w:bottom w:val="nil"/>
              <w:right w:val="nil"/>
            </w:tcBorders>
            <w:shd w:val="clear" w:color="auto" w:fill="auto"/>
            <w:noWrap/>
            <w:vAlign w:val="center"/>
            <w:hideMark/>
          </w:tcPr>
          <w:p w14:paraId="0D083145" w14:textId="77777777" w:rsidR="005747F1" w:rsidRPr="00FC4688" w:rsidRDefault="005747F1" w:rsidP="005747F1">
            <w:pPr>
              <w:rPr>
                <w:rFonts w:eastAsia="Times New Roman" w:cs="Times New Roman"/>
                <w:color w:val="000000"/>
                <w:sz w:val="16"/>
                <w:szCs w:val="16"/>
                <w:lang w:eastAsia="es-GT"/>
              </w:rPr>
            </w:pPr>
            <w:r w:rsidRPr="00FC4688">
              <w:rPr>
                <w:rFonts w:eastAsia="Times New Roman" w:cs="Times New Roman"/>
                <w:color w:val="000000"/>
                <w:sz w:val="16"/>
                <w:szCs w:val="16"/>
                <w:lang w:eastAsia="es-GT"/>
              </w:rPr>
              <w:t>Erogación</w:t>
            </w:r>
          </w:p>
        </w:tc>
        <w:tc>
          <w:tcPr>
            <w:tcW w:w="861" w:type="dxa"/>
            <w:tcBorders>
              <w:top w:val="nil"/>
              <w:left w:val="nil"/>
              <w:bottom w:val="nil"/>
              <w:right w:val="nil"/>
            </w:tcBorders>
            <w:shd w:val="clear" w:color="auto" w:fill="auto"/>
            <w:noWrap/>
            <w:vAlign w:val="center"/>
            <w:hideMark/>
          </w:tcPr>
          <w:p w14:paraId="0E56D42C" w14:textId="7D028C2A"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92,043.7</w:t>
            </w:r>
          </w:p>
        </w:tc>
        <w:tc>
          <w:tcPr>
            <w:tcW w:w="861" w:type="dxa"/>
            <w:tcBorders>
              <w:top w:val="nil"/>
              <w:left w:val="nil"/>
              <w:bottom w:val="nil"/>
              <w:right w:val="nil"/>
            </w:tcBorders>
            <w:shd w:val="clear" w:color="auto" w:fill="auto"/>
            <w:noWrap/>
            <w:vAlign w:val="center"/>
            <w:hideMark/>
          </w:tcPr>
          <w:p w14:paraId="341666FD" w14:textId="4A510F08"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107,921.5</w:t>
            </w:r>
          </w:p>
        </w:tc>
        <w:tc>
          <w:tcPr>
            <w:tcW w:w="861" w:type="dxa"/>
            <w:tcBorders>
              <w:top w:val="nil"/>
              <w:left w:val="dotDash" w:sz="4" w:space="0" w:color="auto"/>
              <w:bottom w:val="nil"/>
              <w:right w:val="nil"/>
            </w:tcBorders>
            <w:shd w:val="clear" w:color="auto" w:fill="auto"/>
            <w:noWrap/>
            <w:vAlign w:val="center"/>
            <w:hideMark/>
          </w:tcPr>
          <w:p w14:paraId="5A79CAEE" w14:textId="671FBB6E"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15,877.8</w:t>
            </w:r>
          </w:p>
        </w:tc>
        <w:tc>
          <w:tcPr>
            <w:tcW w:w="941" w:type="dxa"/>
            <w:tcBorders>
              <w:top w:val="nil"/>
              <w:left w:val="nil"/>
              <w:bottom w:val="nil"/>
              <w:right w:val="nil"/>
            </w:tcBorders>
            <w:shd w:val="clear" w:color="auto" w:fill="auto"/>
            <w:noWrap/>
            <w:vAlign w:val="center"/>
            <w:hideMark/>
          </w:tcPr>
          <w:p w14:paraId="0D6AF032" w14:textId="3A0E16C6" w:rsidR="005747F1" w:rsidRPr="00196244" w:rsidRDefault="005747F1" w:rsidP="005747F1">
            <w:pPr>
              <w:jc w:val="center"/>
              <w:rPr>
                <w:rFonts w:eastAsia="Times New Roman" w:cs="Times New Roman"/>
                <w:color w:val="000000"/>
                <w:sz w:val="16"/>
                <w:szCs w:val="16"/>
                <w:lang w:eastAsia="es-GT"/>
              </w:rPr>
            </w:pPr>
            <w:r w:rsidRPr="00196244">
              <w:rPr>
                <w:color w:val="000000"/>
                <w:sz w:val="16"/>
                <w:szCs w:val="16"/>
              </w:rPr>
              <w:t>17.3</w:t>
            </w:r>
          </w:p>
        </w:tc>
        <w:tc>
          <w:tcPr>
            <w:tcW w:w="815" w:type="dxa"/>
            <w:tcBorders>
              <w:top w:val="nil"/>
              <w:left w:val="dotDash" w:sz="4" w:space="0" w:color="auto"/>
              <w:bottom w:val="nil"/>
              <w:right w:val="nil"/>
            </w:tcBorders>
            <w:shd w:val="clear" w:color="auto" w:fill="auto"/>
            <w:vAlign w:val="center"/>
          </w:tcPr>
          <w:p w14:paraId="0A47A8CC" w14:textId="15C0B3FD" w:rsidR="005747F1" w:rsidRPr="002B75BA" w:rsidRDefault="005747F1" w:rsidP="002B75BA">
            <w:pPr>
              <w:jc w:val="center"/>
              <w:rPr>
                <w:color w:val="000000"/>
                <w:sz w:val="16"/>
                <w:szCs w:val="16"/>
              </w:rPr>
            </w:pPr>
            <w:r w:rsidRPr="002B75BA">
              <w:rPr>
                <w:color w:val="000000"/>
                <w:sz w:val="16"/>
                <w:szCs w:val="16"/>
              </w:rPr>
              <w:t>13.8</w:t>
            </w:r>
          </w:p>
        </w:tc>
        <w:tc>
          <w:tcPr>
            <w:tcW w:w="709" w:type="dxa"/>
            <w:tcBorders>
              <w:top w:val="nil"/>
              <w:left w:val="nil"/>
              <w:bottom w:val="nil"/>
              <w:right w:val="nil"/>
            </w:tcBorders>
            <w:shd w:val="clear" w:color="auto" w:fill="auto"/>
            <w:vAlign w:val="center"/>
          </w:tcPr>
          <w:p w14:paraId="1537C299" w14:textId="1CC5BD1D" w:rsidR="005747F1" w:rsidRPr="002B75BA" w:rsidRDefault="005747F1" w:rsidP="002B75BA">
            <w:pPr>
              <w:jc w:val="center"/>
              <w:rPr>
                <w:color w:val="000000"/>
                <w:sz w:val="16"/>
                <w:szCs w:val="16"/>
              </w:rPr>
            </w:pPr>
            <w:r w:rsidRPr="002B75BA">
              <w:rPr>
                <w:color w:val="000000"/>
                <w:sz w:val="16"/>
                <w:szCs w:val="16"/>
              </w:rPr>
              <w:t>14.7</w:t>
            </w:r>
          </w:p>
        </w:tc>
      </w:tr>
      <w:tr w:rsidR="005747F1" w:rsidRPr="00FC4688" w14:paraId="205BFE93" w14:textId="2D3FCF6F" w:rsidTr="00BB2F7C">
        <w:trPr>
          <w:trHeight w:val="252"/>
          <w:jc w:val="center"/>
        </w:trPr>
        <w:tc>
          <w:tcPr>
            <w:tcW w:w="3164" w:type="dxa"/>
            <w:tcBorders>
              <w:top w:val="nil"/>
              <w:left w:val="nil"/>
              <w:bottom w:val="nil"/>
              <w:right w:val="nil"/>
            </w:tcBorders>
            <w:shd w:val="clear" w:color="auto" w:fill="auto"/>
            <w:noWrap/>
            <w:vAlign w:val="center"/>
            <w:hideMark/>
          </w:tcPr>
          <w:p w14:paraId="7B8BD1E5" w14:textId="77777777" w:rsidR="005747F1" w:rsidRPr="00FC4688" w:rsidRDefault="005747F1" w:rsidP="005747F1">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Primario</w:t>
            </w:r>
          </w:p>
        </w:tc>
        <w:tc>
          <w:tcPr>
            <w:tcW w:w="861" w:type="dxa"/>
            <w:tcBorders>
              <w:top w:val="nil"/>
              <w:left w:val="nil"/>
              <w:bottom w:val="nil"/>
              <w:right w:val="nil"/>
            </w:tcBorders>
            <w:shd w:val="clear" w:color="auto" w:fill="auto"/>
            <w:noWrap/>
            <w:vAlign w:val="center"/>
            <w:hideMark/>
          </w:tcPr>
          <w:p w14:paraId="3E003DDF" w14:textId="2DE1972A"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3,711.4</w:t>
            </w:r>
          </w:p>
        </w:tc>
        <w:tc>
          <w:tcPr>
            <w:tcW w:w="861" w:type="dxa"/>
            <w:tcBorders>
              <w:top w:val="nil"/>
              <w:left w:val="nil"/>
              <w:bottom w:val="nil"/>
              <w:right w:val="nil"/>
            </w:tcBorders>
            <w:shd w:val="clear" w:color="auto" w:fill="auto"/>
            <w:noWrap/>
            <w:vAlign w:val="center"/>
            <w:hideMark/>
          </w:tcPr>
          <w:p w14:paraId="2A525B45" w14:textId="00AB1876"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-544.6</w:t>
            </w:r>
          </w:p>
        </w:tc>
        <w:tc>
          <w:tcPr>
            <w:tcW w:w="861" w:type="dxa"/>
            <w:tcBorders>
              <w:top w:val="nil"/>
              <w:left w:val="dotDash" w:sz="4" w:space="0" w:color="auto"/>
              <w:bottom w:val="nil"/>
              <w:right w:val="nil"/>
            </w:tcBorders>
            <w:shd w:val="clear" w:color="auto" w:fill="auto"/>
            <w:noWrap/>
            <w:vAlign w:val="center"/>
            <w:hideMark/>
          </w:tcPr>
          <w:p w14:paraId="348435F1" w14:textId="368C95D7"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-4,256.0</w:t>
            </w:r>
          </w:p>
        </w:tc>
        <w:tc>
          <w:tcPr>
            <w:tcW w:w="941" w:type="dxa"/>
            <w:tcBorders>
              <w:top w:val="nil"/>
              <w:left w:val="nil"/>
              <w:bottom w:val="nil"/>
              <w:right w:val="nil"/>
            </w:tcBorders>
            <w:shd w:val="clear" w:color="auto" w:fill="auto"/>
            <w:noWrap/>
            <w:vAlign w:val="center"/>
            <w:hideMark/>
          </w:tcPr>
          <w:p w14:paraId="4F162A27" w14:textId="751EF815"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-114.7</w:t>
            </w:r>
          </w:p>
        </w:tc>
        <w:tc>
          <w:tcPr>
            <w:tcW w:w="815" w:type="dxa"/>
            <w:tcBorders>
              <w:top w:val="nil"/>
              <w:left w:val="dotDash" w:sz="4" w:space="0" w:color="auto"/>
              <w:bottom w:val="nil"/>
              <w:right w:val="nil"/>
            </w:tcBorders>
            <w:shd w:val="clear" w:color="auto" w:fill="auto"/>
            <w:vAlign w:val="center"/>
          </w:tcPr>
          <w:p w14:paraId="1A218519" w14:textId="68F4D0F5" w:rsidR="005747F1" w:rsidRPr="002B75BA" w:rsidRDefault="005747F1" w:rsidP="002B75BA">
            <w:pPr>
              <w:jc w:val="center"/>
              <w:rPr>
                <w:b/>
                <w:bCs/>
                <w:color w:val="000000"/>
                <w:sz w:val="16"/>
                <w:szCs w:val="16"/>
              </w:rPr>
            </w:pPr>
            <w:r w:rsidRPr="002B75BA">
              <w:rPr>
                <w:b/>
                <w:bCs/>
                <w:color w:val="000000"/>
                <w:sz w:val="16"/>
                <w:szCs w:val="16"/>
              </w:rPr>
              <w:t>0.6</w:t>
            </w:r>
          </w:p>
        </w:tc>
        <w:tc>
          <w:tcPr>
            <w:tcW w:w="709" w:type="dxa"/>
            <w:tcBorders>
              <w:top w:val="nil"/>
              <w:left w:val="nil"/>
              <w:bottom w:val="nil"/>
              <w:right w:val="nil"/>
            </w:tcBorders>
            <w:shd w:val="clear" w:color="auto" w:fill="auto"/>
            <w:vAlign w:val="center"/>
          </w:tcPr>
          <w:p w14:paraId="04059757" w14:textId="13013587" w:rsidR="005747F1" w:rsidRPr="002B75BA" w:rsidRDefault="005747F1" w:rsidP="002B75BA">
            <w:pPr>
              <w:jc w:val="center"/>
              <w:rPr>
                <w:b/>
                <w:bCs/>
                <w:color w:val="000000"/>
                <w:sz w:val="16"/>
                <w:szCs w:val="16"/>
              </w:rPr>
            </w:pPr>
            <w:r w:rsidRPr="002B75BA">
              <w:rPr>
                <w:b/>
                <w:bCs/>
                <w:color w:val="000000"/>
                <w:sz w:val="16"/>
                <w:szCs w:val="16"/>
              </w:rPr>
              <w:t>-0.1</w:t>
            </w:r>
          </w:p>
        </w:tc>
      </w:tr>
      <w:tr w:rsidR="005747F1" w:rsidRPr="00FC4688" w14:paraId="20CDBC1D" w14:textId="227FA230" w:rsidTr="00BB2F7C">
        <w:trPr>
          <w:trHeight w:val="264"/>
          <w:jc w:val="center"/>
        </w:trPr>
        <w:tc>
          <w:tcPr>
            <w:tcW w:w="3164" w:type="dxa"/>
            <w:tcBorders>
              <w:top w:val="nil"/>
              <w:left w:val="nil"/>
              <w:bottom w:val="nil"/>
              <w:right w:val="nil"/>
            </w:tcBorders>
            <w:shd w:val="clear" w:color="auto" w:fill="auto"/>
            <w:noWrap/>
            <w:vAlign w:val="center"/>
            <w:hideMark/>
          </w:tcPr>
          <w:p w14:paraId="0442102B" w14:textId="77777777" w:rsidR="005747F1" w:rsidRPr="00FC4688" w:rsidRDefault="005747F1" w:rsidP="005747F1">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Préstamo (+) / endeudamiento (-)</w:t>
            </w:r>
          </w:p>
        </w:tc>
        <w:tc>
          <w:tcPr>
            <w:tcW w:w="861" w:type="dxa"/>
            <w:tcBorders>
              <w:top w:val="nil"/>
              <w:left w:val="nil"/>
              <w:bottom w:val="nil"/>
              <w:right w:val="nil"/>
            </w:tcBorders>
            <w:shd w:val="clear" w:color="auto" w:fill="auto"/>
            <w:noWrap/>
            <w:vAlign w:val="center"/>
            <w:hideMark/>
          </w:tcPr>
          <w:p w14:paraId="7572EF06" w14:textId="2E8C762A"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-7,683.2</w:t>
            </w:r>
          </w:p>
        </w:tc>
        <w:tc>
          <w:tcPr>
            <w:tcW w:w="861" w:type="dxa"/>
            <w:tcBorders>
              <w:top w:val="nil"/>
              <w:left w:val="nil"/>
              <w:bottom w:val="nil"/>
              <w:right w:val="nil"/>
            </w:tcBorders>
            <w:shd w:val="clear" w:color="auto" w:fill="auto"/>
            <w:noWrap/>
            <w:vAlign w:val="center"/>
            <w:hideMark/>
          </w:tcPr>
          <w:p w14:paraId="5548BC3A" w14:textId="0EFB6983"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-12,665.1</w:t>
            </w:r>
          </w:p>
        </w:tc>
        <w:tc>
          <w:tcPr>
            <w:tcW w:w="861" w:type="dxa"/>
            <w:tcBorders>
              <w:top w:val="nil"/>
              <w:left w:val="dotDash" w:sz="4" w:space="0" w:color="auto"/>
              <w:bottom w:val="nil"/>
              <w:right w:val="nil"/>
            </w:tcBorders>
            <w:shd w:val="clear" w:color="auto" w:fill="auto"/>
            <w:noWrap/>
            <w:vAlign w:val="center"/>
            <w:hideMark/>
          </w:tcPr>
          <w:p w14:paraId="6269F16F" w14:textId="797C0E2A"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-4,982.0</w:t>
            </w:r>
          </w:p>
        </w:tc>
        <w:tc>
          <w:tcPr>
            <w:tcW w:w="941" w:type="dxa"/>
            <w:tcBorders>
              <w:top w:val="nil"/>
              <w:left w:val="nil"/>
              <w:bottom w:val="nil"/>
              <w:right w:val="nil"/>
            </w:tcBorders>
            <w:shd w:val="clear" w:color="auto" w:fill="auto"/>
            <w:noWrap/>
            <w:vAlign w:val="center"/>
            <w:hideMark/>
          </w:tcPr>
          <w:p w14:paraId="15600C8A" w14:textId="36A6F8B8" w:rsidR="005747F1" w:rsidRPr="00196244" w:rsidRDefault="005747F1" w:rsidP="005747F1">
            <w:pPr>
              <w:jc w:val="center"/>
              <w:rPr>
                <w:rFonts w:eastAsia="Times New Roman" w:cs="Times New Roman"/>
                <w:b/>
                <w:bCs/>
                <w:color w:val="000000"/>
                <w:sz w:val="16"/>
                <w:szCs w:val="16"/>
                <w:lang w:eastAsia="es-GT"/>
              </w:rPr>
            </w:pPr>
            <w:r w:rsidRPr="00196244">
              <w:rPr>
                <w:b/>
                <w:bCs/>
                <w:color w:val="000000"/>
                <w:sz w:val="16"/>
                <w:szCs w:val="16"/>
              </w:rPr>
              <w:t>64.8</w:t>
            </w:r>
          </w:p>
        </w:tc>
        <w:tc>
          <w:tcPr>
            <w:tcW w:w="815" w:type="dxa"/>
            <w:tcBorders>
              <w:top w:val="nil"/>
              <w:left w:val="dotDash" w:sz="4" w:space="0" w:color="auto"/>
              <w:bottom w:val="nil"/>
              <w:right w:val="nil"/>
            </w:tcBorders>
            <w:shd w:val="clear" w:color="auto" w:fill="auto"/>
            <w:vAlign w:val="center"/>
          </w:tcPr>
          <w:p w14:paraId="28D6DA85" w14:textId="306F2C73" w:rsidR="005747F1" w:rsidRPr="002B75BA" w:rsidRDefault="005747F1" w:rsidP="002B75BA">
            <w:pPr>
              <w:jc w:val="center"/>
              <w:rPr>
                <w:b/>
                <w:bCs/>
                <w:color w:val="000000"/>
                <w:sz w:val="16"/>
                <w:szCs w:val="16"/>
              </w:rPr>
            </w:pPr>
            <w:r w:rsidRPr="002B75BA">
              <w:rPr>
                <w:b/>
                <w:bCs/>
                <w:color w:val="000000"/>
                <w:sz w:val="16"/>
                <w:szCs w:val="16"/>
              </w:rPr>
              <w:t>-1.2</w:t>
            </w:r>
          </w:p>
        </w:tc>
        <w:tc>
          <w:tcPr>
            <w:tcW w:w="709" w:type="dxa"/>
            <w:tcBorders>
              <w:top w:val="nil"/>
              <w:left w:val="nil"/>
              <w:bottom w:val="nil"/>
              <w:right w:val="nil"/>
            </w:tcBorders>
            <w:shd w:val="clear" w:color="auto" w:fill="auto"/>
            <w:vAlign w:val="center"/>
          </w:tcPr>
          <w:p w14:paraId="157DC50F" w14:textId="3408F84B" w:rsidR="005747F1" w:rsidRPr="002B75BA" w:rsidRDefault="005747F1" w:rsidP="002B75BA">
            <w:pPr>
              <w:jc w:val="center"/>
              <w:rPr>
                <w:b/>
                <w:bCs/>
                <w:color w:val="000000"/>
                <w:sz w:val="16"/>
                <w:szCs w:val="16"/>
              </w:rPr>
            </w:pPr>
            <w:r w:rsidRPr="002B75BA">
              <w:rPr>
                <w:b/>
                <w:bCs/>
                <w:color w:val="000000"/>
                <w:sz w:val="16"/>
                <w:szCs w:val="16"/>
              </w:rPr>
              <w:t>-1.7</w:t>
            </w:r>
          </w:p>
        </w:tc>
      </w:tr>
      <w:tr w:rsidR="00676C85" w:rsidRPr="00FC4688" w14:paraId="623E528B" w14:textId="601876CC" w:rsidTr="00BB2F7C">
        <w:trPr>
          <w:trHeight w:val="264"/>
          <w:jc w:val="center"/>
        </w:trPr>
        <w:tc>
          <w:tcPr>
            <w:tcW w:w="6688" w:type="dxa"/>
            <w:gridSpan w:val="5"/>
            <w:tcBorders>
              <w:top w:val="single" w:sz="8" w:space="0" w:color="auto"/>
              <w:left w:val="nil"/>
              <w:bottom w:val="double" w:sz="6" w:space="0" w:color="auto"/>
              <w:right w:val="nil"/>
            </w:tcBorders>
            <w:shd w:val="clear" w:color="auto" w:fill="auto"/>
            <w:noWrap/>
            <w:vAlign w:val="center"/>
            <w:hideMark/>
          </w:tcPr>
          <w:p w14:paraId="0FB65DEF" w14:textId="77777777" w:rsidR="00676C85" w:rsidRPr="00FC4688" w:rsidRDefault="00676C85" w:rsidP="003E4789">
            <w:pPr>
              <w:rPr>
                <w:rFonts w:eastAsia="Times New Roman" w:cs="Times New Roman"/>
                <w:color w:val="4472C4"/>
                <w:sz w:val="18"/>
                <w:szCs w:val="18"/>
                <w:lang w:eastAsia="es-GT"/>
              </w:rPr>
            </w:pPr>
            <w:r w:rsidRPr="00FC4688">
              <w:rPr>
                <w:rFonts w:eastAsia="Times New Roman" w:cs="Times New Roman"/>
                <w:color w:val="4472C4"/>
                <w:sz w:val="18"/>
                <w:szCs w:val="18"/>
                <w:lang w:eastAsia="es-GT"/>
              </w:rPr>
              <w:t>TRANSACCIONES EN ACTIVOS Y PASIVOS FINANCIEROS (FINANCIMIENTO)</w:t>
            </w:r>
          </w:p>
        </w:tc>
        <w:tc>
          <w:tcPr>
            <w:tcW w:w="815" w:type="dxa"/>
            <w:tcBorders>
              <w:top w:val="single" w:sz="8" w:space="0" w:color="auto"/>
              <w:left w:val="nil"/>
              <w:bottom w:val="double" w:sz="6" w:space="0" w:color="auto"/>
              <w:right w:val="nil"/>
            </w:tcBorders>
            <w:vAlign w:val="center"/>
          </w:tcPr>
          <w:p w14:paraId="1A7B52FE" w14:textId="77777777" w:rsidR="00676C85" w:rsidRPr="002B75BA" w:rsidRDefault="00676C85" w:rsidP="002B75BA">
            <w:pPr>
              <w:jc w:val="center"/>
              <w:rPr>
                <w:rFonts w:eastAsia="Times New Roman" w:cs="Times New Roman"/>
                <w:color w:val="4472C4"/>
                <w:sz w:val="16"/>
                <w:szCs w:val="16"/>
                <w:lang w:eastAsia="es-GT"/>
              </w:rPr>
            </w:pPr>
          </w:p>
        </w:tc>
        <w:tc>
          <w:tcPr>
            <w:tcW w:w="709" w:type="dxa"/>
            <w:tcBorders>
              <w:top w:val="single" w:sz="8" w:space="0" w:color="auto"/>
              <w:left w:val="nil"/>
              <w:bottom w:val="double" w:sz="6" w:space="0" w:color="auto"/>
              <w:right w:val="nil"/>
            </w:tcBorders>
            <w:vAlign w:val="center"/>
          </w:tcPr>
          <w:p w14:paraId="25924DFF" w14:textId="77777777" w:rsidR="00676C85" w:rsidRPr="002B75BA" w:rsidRDefault="00676C85" w:rsidP="002B75BA">
            <w:pPr>
              <w:jc w:val="center"/>
              <w:rPr>
                <w:rFonts w:eastAsia="Times New Roman" w:cs="Times New Roman"/>
                <w:color w:val="4472C4"/>
                <w:sz w:val="16"/>
                <w:szCs w:val="16"/>
                <w:lang w:eastAsia="es-GT"/>
              </w:rPr>
            </w:pPr>
          </w:p>
        </w:tc>
      </w:tr>
      <w:tr w:rsidR="005747F1" w:rsidRPr="00FC4688" w14:paraId="0F64AF95" w14:textId="6530705E" w:rsidTr="00BB2F7C">
        <w:trPr>
          <w:trHeight w:val="264"/>
          <w:jc w:val="center"/>
        </w:trPr>
        <w:tc>
          <w:tcPr>
            <w:tcW w:w="3164" w:type="dxa"/>
            <w:tcBorders>
              <w:top w:val="nil"/>
              <w:left w:val="nil"/>
              <w:bottom w:val="nil"/>
              <w:right w:val="nil"/>
            </w:tcBorders>
            <w:shd w:val="clear" w:color="auto" w:fill="auto"/>
            <w:noWrap/>
            <w:vAlign w:val="center"/>
            <w:hideMark/>
          </w:tcPr>
          <w:p w14:paraId="0BF18B98" w14:textId="77777777" w:rsidR="005747F1" w:rsidRPr="00FC4688" w:rsidRDefault="005747F1" w:rsidP="005747F1">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Adquisición neta de activos financieros</w:t>
            </w:r>
          </w:p>
        </w:tc>
        <w:tc>
          <w:tcPr>
            <w:tcW w:w="861" w:type="dxa"/>
            <w:tcBorders>
              <w:top w:val="nil"/>
              <w:left w:val="nil"/>
              <w:bottom w:val="nil"/>
              <w:right w:val="nil"/>
            </w:tcBorders>
            <w:shd w:val="clear" w:color="auto" w:fill="auto"/>
            <w:noWrap/>
            <w:vAlign w:val="center"/>
            <w:hideMark/>
          </w:tcPr>
          <w:p w14:paraId="4C850BAD" w14:textId="0FE77DB8"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12,218.3</w:t>
            </w:r>
          </w:p>
        </w:tc>
        <w:tc>
          <w:tcPr>
            <w:tcW w:w="861" w:type="dxa"/>
            <w:tcBorders>
              <w:top w:val="nil"/>
              <w:left w:val="nil"/>
              <w:bottom w:val="nil"/>
              <w:right w:val="nil"/>
            </w:tcBorders>
            <w:shd w:val="clear" w:color="auto" w:fill="auto"/>
            <w:noWrap/>
            <w:vAlign w:val="center"/>
            <w:hideMark/>
          </w:tcPr>
          <w:p w14:paraId="271DD44D" w14:textId="1B8A3E8E"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-3,646.2</w:t>
            </w:r>
          </w:p>
        </w:tc>
        <w:tc>
          <w:tcPr>
            <w:tcW w:w="861" w:type="dxa"/>
            <w:tcBorders>
              <w:top w:val="double" w:sz="6" w:space="0" w:color="auto"/>
              <w:left w:val="dotDash" w:sz="4" w:space="0" w:color="auto"/>
              <w:bottom w:val="nil"/>
              <w:right w:val="nil"/>
            </w:tcBorders>
            <w:shd w:val="clear" w:color="auto" w:fill="auto"/>
            <w:noWrap/>
            <w:vAlign w:val="center"/>
            <w:hideMark/>
          </w:tcPr>
          <w:p w14:paraId="3E664964" w14:textId="776F4124"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-15,864.5</w:t>
            </w:r>
          </w:p>
        </w:tc>
        <w:tc>
          <w:tcPr>
            <w:tcW w:w="941" w:type="dxa"/>
            <w:tcBorders>
              <w:top w:val="nil"/>
              <w:left w:val="nil"/>
              <w:bottom w:val="nil"/>
              <w:right w:val="nil"/>
            </w:tcBorders>
            <w:shd w:val="clear" w:color="auto" w:fill="auto"/>
            <w:noWrap/>
            <w:vAlign w:val="center"/>
            <w:hideMark/>
          </w:tcPr>
          <w:p w14:paraId="751A5CBD" w14:textId="1052A190"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-129.8</w:t>
            </w:r>
          </w:p>
        </w:tc>
        <w:tc>
          <w:tcPr>
            <w:tcW w:w="815" w:type="dxa"/>
            <w:tcBorders>
              <w:top w:val="double" w:sz="6" w:space="0" w:color="auto"/>
              <w:left w:val="dotDash" w:sz="4" w:space="0" w:color="auto"/>
              <w:bottom w:val="nil"/>
              <w:right w:val="nil"/>
            </w:tcBorders>
            <w:shd w:val="clear" w:color="auto" w:fill="auto"/>
            <w:vAlign w:val="center"/>
          </w:tcPr>
          <w:p w14:paraId="2F597D25" w14:textId="01469FD3" w:rsidR="005747F1" w:rsidRPr="002B75BA" w:rsidRDefault="005747F1" w:rsidP="002B75BA">
            <w:pPr>
              <w:jc w:val="center"/>
              <w:rPr>
                <w:b/>
                <w:bCs/>
                <w:color w:val="000000"/>
                <w:sz w:val="16"/>
                <w:szCs w:val="16"/>
              </w:rPr>
            </w:pPr>
            <w:r w:rsidRPr="002B75BA">
              <w:rPr>
                <w:b/>
                <w:bCs/>
                <w:color w:val="000000"/>
                <w:sz w:val="16"/>
                <w:szCs w:val="16"/>
              </w:rPr>
              <w:t>1.8</w:t>
            </w:r>
          </w:p>
        </w:tc>
        <w:tc>
          <w:tcPr>
            <w:tcW w:w="709" w:type="dxa"/>
            <w:tcBorders>
              <w:top w:val="nil"/>
              <w:left w:val="nil"/>
              <w:bottom w:val="nil"/>
              <w:right w:val="nil"/>
            </w:tcBorders>
            <w:shd w:val="clear" w:color="auto" w:fill="auto"/>
            <w:vAlign w:val="center"/>
          </w:tcPr>
          <w:p w14:paraId="0E53C0E2" w14:textId="0D6E1A14" w:rsidR="005747F1" w:rsidRPr="002B75BA" w:rsidRDefault="005747F1" w:rsidP="002B75BA">
            <w:pPr>
              <w:jc w:val="center"/>
              <w:rPr>
                <w:b/>
                <w:bCs/>
                <w:color w:val="000000"/>
                <w:sz w:val="16"/>
                <w:szCs w:val="16"/>
              </w:rPr>
            </w:pPr>
            <w:r w:rsidRPr="002B75BA">
              <w:rPr>
                <w:b/>
                <w:bCs/>
                <w:color w:val="000000"/>
                <w:sz w:val="16"/>
                <w:szCs w:val="16"/>
              </w:rPr>
              <w:t>-0.5</w:t>
            </w:r>
          </w:p>
        </w:tc>
      </w:tr>
      <w:tr w:rsidR="005747F1" w:rsidRPr="00FC4688" w14:paraId="006B5F4E" w14:textId="54318C8E" w:rsidTr="00BB2F7C">
        <w:trPr>
          <w:trHeight w:val="252"/>
          <w:jc w:val="center"/>
        </w:trPr>
        <w:tc>
          <w:tcPr>
            <w:tcW w:w="3164" w:type="dxa"/>
            <w:tcBorders>
              <w:top w:val="nil"/>
              <w:left w:val="nil"/>
              <w:bottom w:val="nil"/>
              <w:right w:val="nil"/>
            </w:tcBorders>
            <w:shd w:val="clear" w:color="auto" w:fill="auto"/>
            <w:noWrap/>
            <w:vAlign w:val="center"/>
            <w:hideMark/>
          </w:tcPr>
          <w:p w14:paraId="24B0906B"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Billetes monedas y depósitos</w:t>
            </w:r>
          </w:p>
        </w:tc>
        <w:tc>
          <w:tcPr>
            <w:tcW w:w="861" w:type="dxa"/>
            <w:tcBorders>
              <w:top w:val="nil"/>
              <w:left w:val="nil"/>
              <w:bottom w:val="nil"/>
              <w:right w:val="nil"/>
            </w:tcBorders>
            <w:shd w:val="clear" w:color="auto" w:fill="auto"/>
            <w:noWrap/>
            <w:vAlign w:val="center"/>
            <w:hideMark/>
          </w:tcPr>
          <w:p w14:paraId="24A10F92" w14:textId="0113DD76" w:rsidR="005747F1" w:rsidRPr="00FC4688" w:rsidRDefault="005747F1" w:rsidP="005747F1">
            <w:pPr>
              <w:jc w:val="center"/>
              <w:rPr>
                <w:rFonts w:eastAsia="Times New Roman" w:cs="Times New Roman"/>
                <w:color w:val="000000"/>
                <w:sz w:val="16"/>
                <w:szCs w:val="16"/>
                <w:lang w:eastAsia="es-GT"/>
              </w:rPr>
            </w:pPr>
            <w:r>
              <w:rPr>
                <w:color w:val="000000"/>
                <w:sz w:val="18"/>
                <w:szCs w:val="18"/>
              </w:rPr>
              <w:t>12,094.7</w:t>
            </w:r>
          </w:p>
        </w:tc>
        <w:tc>
          <w:tcPr>
            <w:tcW w:w="861" w:type="dxa"/>
            <w:tcBorders>
              <w:top w:val="nil"/>
              <w:left w:val="nil"/>
              <w:bottom w:val="nil"/>
              <w:right w:val="nil"/>
            </w:tcBorders>
            <w:shd w:val="clear" w:color="auto" w:fill="auto"/>
            <w:noWrap/>
            <w:vAlign w:val="center"/>
            <w:hideMark/>
          </w:tcPr>
          <w:p w14:paraId="51DF1E71" w14:textId="5F76895D" w:rsidR="005747F1" w:rsidRPr="00FC4688" w:rsidRDefault="005747F1" w:rsidP="005747F1">
            <w:pPr>
              <w:jc w:val="center"/>
              <w:rPr>
                <w:rFonts w:eastAsia="Times New Roman" w:cs="Times New Roman"/>
                <w:color w:val="000000"/>
                <w:sz w:val="16"/>
                <w:szCs w:val="16"/>
                <w:lang w:eastAsia="es-GT"/>
              </w:rPr>
            </w:pPr>
            <w:r>
              <w:rPr>
                <w:color w:val="000000"/>
                <w:sz w:val="18"/>
                <w:szCs w:val="18"/>
              </w:rPr>
              <w:t>-3,601.5</w:t>
            </w:r>
          </w:p>
        </w:tc>
        <w:tc>
          <w:tcPr>
            <w:tcW w:w="861" w:type="dxa"/>
            <w:tcBorders>
              <w:top w:val="nil"/>
              <w:left w:val="dotDash" w:sz="4" w:space="0" w:color="auto"/>
              <w:bottom w:val="nil"/>
              <w:right w:val="nil"/>
            </w:tcBorders>
            <w:shd w:val="clear" w:color="auto" w:fill="auto"/>
            <w:noWrap/>
            <w:vAlign w:val="center"/>
            <w:hideMark/>
          </w:tcPr>
          <w:p w14:paraId="779FBD0C" w14:textId="1BA764E7" w:rsidR="005747F1" w:rsidRPr="00FC4688" w:rsidRDefault="005747F1" w:rsidP="005747F1">
            <w:pPr>
              <w:jc w:val="center"/>
              <w:rPr>
                <w:rFonts w:eastAsia="Times New Roman" w:cs="Times New Roman"/>
                <w:color w:val="000000"/>
                <w:sz w:val="16"/>
                <w:szCs w:val="16"/>
                <w:lang w:eastAsia="es-GT"/>
              </w:rPr>
            </w:pPr>
            <w:r>
              <w:rPr>
                <w:color w:val="000000"/>
                <w:sz w:val="18"/>
                <w:szCs w:val="18"/>
              </w:rPr>
              <w:t>-15,696.1</w:t>
            </w:r>
          </w:p>
        </w:tc>
        <w:tc>
          <w:tcPr>
            <w:tcW w:w="941" w:type="dxa"/>
            <w:tcBorders>
              <w:top w:val="nil"/>
              <w:left w:val="nil"/>
              <w:bottom w:val="nil"/>
              <w:right w:val="nil"/>
            </w:tcBorders>
            <w:shd w:val="clear" w:color="auto" w:fill="auto"/>
            <w:noWrap/>
            <w:vAlign w:val="center"/>
            <w:hideMark/>
          </w:tcPr>
          <w:p w14:paraId="46247A0F" w14:textId="6BD57FDB" w:rsidR="005747F1" w:rsidRPr="00FC4688" w:rsidRDefault="005747F1" w:rsidP="005747F1">
            <w:pPr>
              <w:jc w:val="center"/>
              <w:rPr>
                <w:rFonts w:eastAsia="Times New Roman" w:cs="Times New Roman"/>
                <w:color w:val="000000"/>
                <w:sz w:val="16"/>
                <w:szCs w:val="16"/>
                <w:lang w:eastAsia="es-GT"/>
              </w:rPr>
            </w:pPr>
            <w:r>
              <w:rPr>
                <w:color w:val="000000"/>
                <w:sz w:val="18"/>
                <w:szCs w:val="18"/>
              </w:rPr>
              <w:t>-129.8</w:t>
            </w:r>
          </w:p>
        </w:tc>
        <w:tc>
          <w:tcPr>
            <w:tcW w:w="815" w:type="dxa"/>
            <w:tcBorders>
              <w:top w:val="nil"/>
              <w:left w:val="dotDash" w:sz="4" w:space="0" w:color="auto"/>
              <w:bottom w:val="nil"/>
              <w:right w:val="nil"/>
            </w:tcBorders>
            <w:shd w:val="clear" w:color="auto" w:fill="auto"/>
            <w:vAlign w:val="center"/>
          </w:tcPr>
          <w:p w14:paraId="38F2F93D" w14:textId="53EB1C20" w:rsidR="005747F1" w:rsidRPr="002B75BA" w:rsidRDefault="005747F1" w:rsidP="002B75BA">
            <w:pPr>
              <w:jc w:val="center"/>
              <w:rPr>
                <w:color w:val="000000"/>
                <w:sz w:val="16"/>
                <w:szCs w:val="16"/>
              </w:rPr>
            </w:pPr>
            <w:r w:rsidRPr="002B75BA">
              <w:rPr>
                <w:color w:val="000000"/>
                <w:sz w:val="16"/>
                <w:szCs w:val="16"/>
              </w:rPr>
              <w:t>1.8</w:t>
            </w:r>
          </w:p>
        </w:tc>
        <w:tc>
          <w:tcPr>
            <w:tcW w:w="709" w:type="dxa"/>
            <w:tcBorders>
              <w:top w:val="nil"/>
              <w:left w:val="nil"/>
              <w:bottom w:val="nil"/>
              <w:right w:val="nil"/>
            </w:tcBorders>
            <w:shd w:val="clear" w:color="auto" w:fill="auto"/>
            <w:vAlign w:val="center"/>
          </w:tcPr>
          <w:p w14:paraId="0BEA0A3E" w14:textId="7DA2D911" w:rsidR="005747F1" w:rsidRPr="002B75BA" w:rsidRDefault="005747F1" w:rsidP="002B75BA">
            <w:pPr>
              <w:jc w:val="center"/>
              <w:rPr>
                <w:color w:val="000000"/>
                <w:sz w:val="16"/>
                <w:szCs w:val="16"/>
              </w:rPr>
            </w:pPr>
            <w:r w:rsidRPr="002B75BA">
              <w:rPr>
                <w:color w:val="000000"/>
                <w:sz w:val="16"/>
                <w:szCs w:val="16"/>
              </w:rPr>
              <w:t>-0.49</w:t>
            </w:r>
          </w:p>
        </w:tc>
      </w:tr>
      <w:tr w:rsidR="005747F1" w:rsidRPr="00FC4688" w14:paraId="0038A0E3" w14:textId="108CE968" w:rsidTr="00BB2F7C">
        <w:trPr>
          <w:trHeight w:val="252"/>
          <w:jc w:val="center"/>
        </w:trPr>
        <w:tc>
          <w:tcPr>
            <w:tcW w:w="3164" w:type="dxa"/>
            <w:tcBorders>
              <w:top w:val="nil"/>
              <w:left w:val="nil"/>
              <w:bottom w:val="nil"/>
              <w:right w:val="nil"/>
            </w:tcBorders>
            <w:shd w:val="clear" w:color="auto" w:fill="auto"/>
            <w:noWrap/>
            <w:vAlign w:val="center"/>
            <w:hideMark/>
          </w:tcPr>
          <w:p w14:paraId="3233DC3F"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0A953D79" w14:textId="51473973" w:rsidR="005747F1" w:rsidRPr="00FC4688" w:rsidRDefault="005747F1" w:rsidP="005747F1">
            <w:pPr>
              <w:jc w:val="center"/>
              <w:rPr>
                <w:rFonts w:eastAsia="Times New Roman" w:cs="Times New Roman"/>
                <w:color w:val="000000"/>
                <w:sz w:val="16"/>
                <w:szCs w:val="16"/>
                <w:lang w:eastAsia="es-GT"/>
              </w:rPr>
            </w:pPr>
            <w:r>
              <w:rPr>
                <w:color w:val="000000"/>
                <w:sz w:val="18"/>
                <w:szCs w:val="18"/>
              </w:rPr>
              <w:t>-90.3</w:t>
            </w:r>
          </w:p>
        </w:tc>
        <w:tc>
          <w:tcPr>
            <w:tcW w:w="861" w:type="dxa"/>
            <w:tcBorders>
              <w:top w:val="nil"/>
              <w:left w:val="nil"/>
              <w:bottom w:val="nil"/>
              <w:right w:val="nil"/>
            </w:tcBorders>
            <w:shd w:val="clear" w:color="auto" w:fill="auto"/>
            <w:noWrap/>
            <w:vAlign w:val="center"/>
            <w:hideMark/>
          </w:tcPr>
          <w:p w14:paraId="1A640F1B" w14:textId="5A505423" w:rsidR="005747F1" w:rsidRPr="00FC4688" w:rsidRDefault="005747F1" w:rsidP="005747F1">
            <w:pPr>
              <w:jc w:val="center"/>
              <w:rPr>
                <w:rFonts w:eastAsia="Times New Roman" w:cs="Times New Roman"/>
                <w:color w:val="000000"/>
                <w:sz w:val="16"/>
                <w:szCs w:val="16"/>
                <w:lang w:eastAsia="es-GT"/>
              </w:rPr>
            </w:pPr>
            <w:r>
              <w:rPr>
                <w:color w:val="000000"/>
                <w:sz w:val="18"/>
                <w:szCs w:val="18"/>
              </w:rPr>
              <w:t>-44.8</w:t>
            </w:r>
          </w:p>
        </w:tc>
        <w:tc>
          <w:tcPr>
            <w:tcW w:w="861" w:type="dxa"/>
            <w:tcBorders>
              <w:top w:val="nil"/>
              <w:left w:val="dotDash" w:sz="4" w:space="0" w:color="auto"/>
              <w:bottom w:val="nil"/>
              <w:right w:val="nil"/>
            </w:tcBorders>
            <w:shd w:val="clear" w:color="auto" w:fill="auto"/>
            <w:noWrap/>
            <w:vAlign w:val="center"/>
            <w:hideMark/>
          </w:tcPr>
          <w:p w14:paraId="0BA44D39" w14:textId="04C4F4F7" w:rsidR="005747F1" w:rsidRPr="00FC4688" w:rsidRDefault="005747F1" w:rsidP="005747F1">
            <w:pPr>
              <w:jc w:val="center"/>
              <w:rPr>
                <w:rFonts w:eastAsia="Times New Roman" w:cs="Times New Roman"/>
                <w:color w:val="000000"/>
                <w:sz w:val="16"/>
                <w:szCs w:val="16"/>
                <w:lang w:eastAsia="es-GT"/>
              </w:rPr>
            </w:pPr>
            <w:r>
              <w:rPr>
                <w:color w:val="000000"/>
                <w:sz w:val="18"/>
                <w:szCs w:val="18"/>
              </w:rPr>
              <w:t>45.5</w:t>
            </w:r>
          </w:p>
        </w:tc>
        <w:tc>
          <w:tcPr>
            <w:tcW w:w="941" w:type="dxa"/>
            <w:tcBorders>
              <w:top w:val="nil"/>
              <w:left w:val="nil"/>
              <w:bottom w:val="nil"/>
              <w:right w:val="nil"/>
            </w:tcBorders>
            <w:shd w:val="clear" w:color="auto" w:fill="auto"/>
            <w:noWrap/>
            <w:vAlign w:val="center"/>
            <w:hideMark/>
          </w:tcPr>
          <w:p w14:paraId="39334DB3" w14:textId="12B0B3ED" w:rsidR="005747F1" w:rsidRPr="00FC4688" w:rsidRDefault="005747F1" w:rsidP="005747F1">
            <w:pPr>
              <w:jc w:val="center"/>
              <w:rPr>
                <w:rFonts w:eastAsia="Times New Roman" w:cs="Times New Roman"/>
                <w:color w:val="000000"/>
                <w:sz w:val="16"/>
                <w:szCs w:val="16"/>
                <w:lang w:eastAsia="es-GT"/>
              </w:rPr>
            </w:pPr>
            <w:r>
              <w:rPr>
                <w:color w:val="000000"/>
                <w:sz w:val="18"/>
                <w:szCs w:val="18"/>
              </w:rPr>
              <w:t>-50.4</w:t>
            </w:r>
          </w:p>
        </w:tc>
        <w:tc>
          <w:tcPr>
            <w:tcW w:w="815" w:type="dxa"/>
            <w:tcBorders>
              <w:top w:val="nil"/>
              <w:left w:val="dotDash" w:sz="4" w:space="0" w:color="auto"/>
              <w:bottom w:val="nil"/>
              <w:right w:val="nil"/>
            </w:tcBorders>
            <w:shd w:val="clear" w:color="auto" w:fill="auto"/>
            <w:vAlign w:val="center"/>
          </w:tcPr>
          <w:p w14:paraId="42D62B27" w14:textId="6B6E56D0" w:rsidR="005747F1" w:rsidRPr="002B75BA" w:rsidRDefault="005747F1" w:rsidP="002B75BA">
            <w:pPr>
              <w:jc w:val="center"/>
              <w:rPr>
                <w:color w:val="000000"/>
                <w:sz w:val="16"/>
                <w:szCs w:val="16"/>
              </w:rPr>
            </w:pPr>
            <w:r w:rsidRPr="002B75BA">
              <w:rPr>
                <w:color w:val="000000"/>
                <w:sz w:val="16"/>
                <w:szCs w:val="16"/>
              </w:rPr>
              <w:t>0.0</w:t>
            </w:r>
          </w:p>
        </w:tc>
        <w:tc>
          <w:tcPr>
            <w:tcW w:w="709" w:type="dxa"/>
            <w:tcBorders>
              <w:top w:val="nil"/>
              <w:left w:val="nil"/>
              <w:bottom w:val="nil"/>
              <w:right w:val="nil"/>
            </w:tcBorders>
            <w:shd w:val="clear" w:color="auto" w:fill="auto"/>
            <w:vAlign w:val="center"/>
          </w:tcPr>
          <w:p w14:paraId="08E2EBCA" w14:textId="03054A4D" w:rsidR="005747F1" w:rsidRPr="002B75BA" w:rsidRDefault="005747F1" w:rsidP="002B75BA">
            <w:pPr>
              <w:jc w:val="center"/>
              <w:rPr>
                <w:color w:val="000000"/>
                <w:sz w:val="16"/>
                <w:szCs w:val="16"/>
              </w:rPr>
            </w:pPr>
            <w:r w:rsidRPr="002B75BA">
              <w:rPr>
                <w:color w:val="000000"/>
                <w:sz w:val="16"/>
                <w:szCs w:val="16"/>
              </w:rPr>
              <w:t>-0.01</w:t>
            </w:r>
          </w:p>
        </w:tc>
      </w:tr>
      <w:tr w:rsidR="005747F1" w:rsidRPr="00FC4688" w14:paraId="6BBF7F75" w14:textId="584F1C32" w:rsidTr="00BB2F7C">
        <w:trPr>
          <w:trHeight w:val="252"/>
          <w:jc w:val="center"/>
        </w:trPr>
        <w:tc>
          <w:tcPr>
            <w:tcW w:w="3164" w:type="dxa"/>
            <w:tcBorders>
              <w:top w:val="nil"/>
              <w:left w:val="nil"/>
              <w:bottom w:val="nil"/>
              <w:right w:val="nil"/>
            </w:tcBorders>
            <w:shd w:val="clear" w:color="auto" w:fill="auto"/>
            <w:noWrap/>
            <w:vAlign w:val="center"/>
            <w:hideMark/>
          </w:tcPr>
          <w:p w14:paraId="1780DFF6"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61C9C63" w14:textId="52161AAD" w:rsidR="005747F1" w:rsidRPr="00FC4688" w:rsidRDefault="005747F1" w:rsidP="005747F1">
            <w:pPr>
              <w:jc w:val="center"/>
              <w:rPr>
                <w:rFonts w:eastAsia="Times New Roman" w:cs="Times New Roman"/>
                <w:color w:val="000000"/>
                <w:sz w:val="16"/>
                <w:szCs w:val="16"/>
                <w:lang w:eastAsia="es-GT"/>
              </w:rPr>
            </w:pPr>
            <w:r>
              <w:rPr>
                <w:color w:val="000000"/>
                <w:sz w:val="18"/>
                <w:szCs w:val="18"/>
              </w:rPr>
              <w:t>213.9</w:t>
            </w:r>
          </w:p>
        </w:tc>
        <w:tc>
          <w:tcPr>
            <w:tcW w:w="861" w:type="dxa"/>
            <w:tcBorders>
              <w:top w:val="nil"/>
              <w:left w:val="nil"/>
              <w:bottom w:val="nil"/>
              <w:right w:val="nil"/>
            </w:tcBorders>
            <w:shd w:val="clear" w:color="auto" w:fill="auto"/>
            <w:noWrap/>
            <w:vAlign w:val="center"/>
            <w:hideMark/>
          </w:tcPr>
          <w:p w14:paraId="52A856C4" w14:textId="661BF35D" w:rsidR="005747F1" w:rsidRPr="00FC4688" w:rsidRDefault="005747F1" w:rsidP="005747F1">
            <w:pPr>
              <w:jc w:val="center"/>
              <w:rPr>
                <w:rFonts w:eastAsia="Times New Roman" w:cs="Times New Roman"/>
                <w:color w:val="000000"/>
                <w:sz w:val="16"/>
                <w:szCs w:val="16"/>
                <w:lang w:eastAsia="es-GT"/>
              </w:rPr>
            </w:pPr>
            <w:r>
              <w:rPr>
                <w:color w:val="000000"/>
                <w:sz w:val="18"/>
                <w:szCs w:val="18"/>
              </w:rPr>
              <w:t>0.0</w:t>
            </w:r>
          </w:p>
        </w:tc>
        <w:tc>
          <w:tcPr>
            <w:tcW w:w="861" w:type="dxa"/>
            <w:tcBorders>
              <w:top w:val="nil"/>
              <w:left w:val="dotDash" w:sz="4" w:space="0" w:color="auto"/>
              <w:bottom w:val="nil"/>
              <w:right w:val="nil"/>
            </w:tcBorders>
            <w:shd w:val="clear" w:color="auto" w:fill="auto"/>
            <w:noWrap/>
            <w:vAlign w:val="center"/>
            <w:hideMark/>
          </w:tcPr>
          <w:p w14:paraId="1F15703A" w14:textId="0BFFB9EB" w:rsidR="005747F1" w:rsidRPr="00FC4688" w:rsidRDefault="005747F1" w:rsidP="005747F1">
            <w:pPr>
              <w:jc w:val="center"/>
              <w:rPr>
                <w:rFonts w:eastAsia="Times New Roman" w:cs="Times New Roman"/>
                <w:color w:val="000000"/>
                <w:sz w:val="16"/>
                <w:szCs w:val="16"/>
                <w:lang w:eastAsia="es-GT"/>
              </w:rPr>
            </w:pPr>
            <w:r>
              <w:rPr>
                <w:color w:val="000000"/>
                <w:sz w:val="18"/>
                <w:szCs w:val="18"/>
              </w:rPr>
              <w:t>-213.9</w:t>
            </w:r>
          </w:p>
        </w:tc>
        <w:tc>
          <w:tcPr>
            <w:tcW w:w="941" w:type="dxa"/>
            <w:tcBorders>
              <w:top w:val="nil"/>
              <w:left w:val="nil"/>
              <w:bottom w:val="nil"/>
              <w:right w:val="nil"/>
            </w:tcBorders>
            <w:shd w:val="clear" w:color="auto" w:fill="auto"/>
            <w:noWrap/>
            <w:vAlign w:val="center"/>
            <w:hideMark/>
          </w:tcPr>
          <w:p w14:paraId="147F1E71" w14:textId="6C8C19DA" w:rsidR="005747F1" w:rsidRPr="00FC4688" w:rsidRDefault="005747F1" w:rsidP="005747F1">
            <w:pPr>
              <w:jc w:val="center"/>
              <w:rPr>
                <w:rFonts w:eastAsia="Times New Roman" w:cs="Times New Roman"/>
                <w:color w:val="000000"/>
                <w:sz w:val="16"/>
                <w:szCs w:val="16"/>
                <w:lang w:eastAsia="es-GT"/>
              </w:rPr>
            </w:pPr>
          </w:p>
        </w:tc>
        <w:tc>
          <w:tcPr>
            <w:tcW w:w="815" w:type="dxa"/>
            <w:tcBorders>
              <w:top w:val="nil"/>
              <w:left w:val="dotDash" w:sz="4" w:space="0" w:color="auto"/>
              <w:bottom w:val="nil"/>
              <w:right w:val="nil"/>
            </w:tcBorders>
            <w:shd w:val="clear" w:color="auto" w:fill="auto"/>
            <w:vAlign w:val="center"/>
          </w:tcPr>
          <w:p w14:paraId="23B28C67" w14:textId="7D000C43" w:rsidR="005747F1" w:rsidRPr="002B75BA" w:rsidRDefault="005747F1" w:rsidP="002B75BA">
            <w:pPr>
              <w:jc w:val="center"/>
              <w:rPr>
                <w:rFonts w:eastAsia="Times New Roman" w:cs="Times New Roman"/>
                <w:color w:val="000000"/>
                <w:sz w:val="16"/>
                <w:szCs w:val="16"/>
                <w:lang w:eastAsia="es-GT"/>
              </w:rPr>
            </w:pPr>
            <w:r w:rsidRPr="002B75BA">
              <w:rPr>
                <w:color w:val="000000"/>
                <w:sz w:val="16"/>
                <w:szCs w:val="16"/>
              </w:rPr>
              <w:t>0.0</w:t>
            </w:r>
          </w:p>
        </w:tc>
        <w:tc>
          <w:tcPr>
            <w:tcW w:w="709" w:type="dxa"/>
            <w:tcBorders>
              <w:top w:val="nil"/>
              <w:left w:val="nil"/>
              <w:bottom w:val="nil"/>
              <w:right w:val="nil"/>
            </w:tcBorders>
            <w:shd w:val="clear" w:color="auto" w:fill="auto"/>
            <w:vAlign w:val="center"/>
          </w:tcPr>
          <w:p w14:paraId="6DF99D67" w14:textId="05E37190" w:rsidR="005747F1" w:rsidRPr="002B75BA" w:rsidRDefault="005747F1" w:rsidP="002B75BA">
            <w:pPr>
              <w:jc w:val="center"/>
              <w:rPr>
                <w:rFonts w:eastAsia="Times New Roman" w:cs="Times New Roman"/>
                <w:color w:val="000000"/>
                <w:sz w:val="16"/>
                <w:szCs w:val="16"/>
                <w:lang w:eastAsia="es-GT"/>
              </w:rPr>
            </w:pPr>
            <w:r w:rsidRPr="002B75BA">
              <w:rPr>
                <w:color w:val="000000"/>
                <w:sz w:val="16"/>
                <w:szCs w:val="16"/>
              </w:rPr>
              <w:t>0.0</w:t>
            </w:r>
          </w:p>
        </w:tc>
      </w:tr>
      <w:tr w:rsidR="005747F1" w:rsidRPr="00FC4688" w14:paraId="2C6A1243" w14:textId="2211AC3B" w:rsidTr="00BB2F7C">
        <w:trPr>
          <w:trHeight w:val="252"/>
          <w:jc w:val="center"/>
        </w:trPr>
        <w:tc>
          <w:tcPr>
            <w:tcW w:w="3164" w:type="dxa"/>
            <w:tcBorders>
              <w:top w:val="nil"/>
              <w:left w:val="nil"/>
              <w:bottom w:val="nil"/>
              <w:right w:val="nil"/>
            </w:tcBorders>
            <w:shd w:val="clear" w:color="auto" w:fill="auto"/>
            <w:noWrap/>
            <w:vAlign w:val="center"/>
            <w:hideMark/>
          </w:tcPr>
          <w:p w14:paraId="2C89A45D" w14:textId="77777777" w:rsidR="005747F1" w:rsidRPr="00FC4688" w:rsidRDefault="005747F1" w:rsidP="005747F1">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Incurrimiento neto de pasivos</w:t>
            </w:r>
          </w:p>
        </w:tc>
        <w:tc>
          <w:tcPr>
            <w:tcW w:w="861" w:type="dxa"/>
            <w:tcBorders>
              <w:top w:val="nil"/>
              <w:left w:val="nil"/>
              <w:bottom w:val="nil"/>
              <w:right w:val="nil"/>
            </w:tcBorders>
            <w:shd w:val="clear" w:color="auto" w:fill="auto"/>
            <w:noWrap/>
            <w:vAlign w:val="center"/>
            <w:hideMark/>
          </w:tcPr>
          <w:p w14:paraId="37735D2D" w14:textId="0D42AC27"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19,161.4</w:t>
            </w:r>
          </w:p>
        </w:tc>
        <w:tc>
          <w:tcPr>
            <w:tcW w:w="861" w:type="dxa"/>
            <w:tcBorders>
              <w:top w:val="nil"/>
              <w:left w:val="nil"/>
              <w:bottom w:val="nil"/>
              <w:right w:val="nil"/>
            </w:tcBorders>
            <w:shd w:val="clear" w:color="auto" w:fill="auto"/>
            <w:noWrap/>
            <w:vAlign w:val="center"/>
            <w:hideMark/>
          </w:tcPr>
          <w:p w14:paraId="5FCA5592" w14:textId="2974241F"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8,932.1</w:t>
            </w:r>
          </w:p>
        </w:tc>
        <w:tc>
          <w:tcPr>
            <w:tcW w:w="861" w:type="dxa"/>
            <w:tcBorders>
              <w:top w:val="nil"/>
              <w:left w:val="dotDash" w:sz="4" w:space="0" w:color="auto"/>
              <w:bottom w:val="nil"/>
              <w:right w:val="nil"/>
            </w:tcBorders>
            <w:shd w:val="clear" w:color="auto" w:fill="auto"/>
            <w:noWrap/>
            <w:vAlign w:val="center"/>
            <w:hideMark/>
          </w:tcPr>
          <w:p w14:paraId="7041B427" w14:textId="2DE516D2"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-10,229.3</w:t>
            </w:r>
          </w:p>
        </w:tc>
        <w:tc>
          <w:tcPr>
            <w:tcW w:w="941" w:type="dxa"/>
            <w:tcBorders>
              <w:top w:val="nil"/>
              <w:left w:val="nil"/>
              <w:bottom w:val="nil"/>
              <w:right w:val="nil"/>
            </w:tcBorders>
            <w:shd w:val="clear" w:color="auto" w:fill="auto"/>
            <w:noWrap/>
            <w:vAlign w:val="center"/>
            <w:hideMark/>
          </w:tcPr>
          <w:p w14:paraId="23A92E83" w14:textId="1F9C9462"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-53.4</w:t>
            </w:r>
          </w:p>
        </w:tc>
        <w:tc>
          <w:tcPr>
            <w:tcW w:w="815" w:type="dxa"/>
            <w:tcBorders>
              <w:top w:val="nil"/>
              <w:left w:val="dotDash" w:sz="4" w:space="0" w:color="auto"/>
              <w:bottom w:val="nil"/>
              <w:right w:val="nil"/>
            </w:tcBorders>
            <w:shd w:val="clear" w:color="auto" w:fill="auto"/>
            <w:vAlign w:val="center"/>
          </w:tcPr>
          <w:p w14:paraId="5BED9E2F" w14:textId="0188583D" w:rsidR="005747F1" w:rsidRPr="002B75BA" w:rsidRDefault="005747F1" w:rsidP="002B75BA">
            <w:pPr>
              <w:jc w:val="center"/>
              <w:rPr>
                <w:b/>
                <w:bCs/>
                <w:color w:val="000000"/>
                <w:sz w:val="16"/>
                <w:szCs w:val="16"/>
              </w:rPr>
            </w:pPr>
            <w:r w:rsidRPr="002B75BA">
              <w:rPr>
                <w:b/>
                <w:bCs/>
                <w:color w:val="000000"/>
                <w:sz w:val="16"/>
                <w:szCs w:val="16"/>
              </w:rPr>
              <w:t>2.9</w:t>
            </w:r>
          </w:p>
        </w:tc>
        <w:tc>
          <w:tcPr>
            <w:tcW w:w="709" w:type="dxa"/>
            <w:tcBorders>
              <w:top w:val="nil"/>
              <w:left w:val="nil"/>
              <w:bottom w:val="nil"/>
              <w:right w:val="nil"/>
            </w:tcBorders>
            <w:shd w:val="clear" w:color="auto" w:fill="auto"/>
            <w:vAlign w:val="center"/>
          </w:tcPr>
          <w:p w14:paraId="1B09167F" w14:textId="66ADD51B" w:rsidR="005747F1" w:rsidRPr="002B75BA" w:rsidRDefault="005747F1" w:rsidP="002B75BA">
            <w:pPr>
              <w:jc w:val="center"/>
              <w:rPr>
                <w:b/>
                <w:bCs/>
                <w:color w:val="000000"/>
                <w:sz w:val="16"/>
                <w:szCs w:val="16"/>
              </w:rPr>
            </w:pPr>
            <w:r w:rsidRPr="002B75BA">
              <w:rPr>
                <w:b/>
                <w:bCs/>
                <w:color w:val="000000"/>
                <w:sz w:val="16"/>
                <w:szCs w:val="16"/>
              </w:rPr>
              <w:t>1.2</w:t>
            </w:r>
          </w:p>
        </w:tc>
      </w:tr>
      <w:tr w:rsidR="005747F1" w:rsidRPr="00FC4688" w14:paraId="105BB5D5" w14:textId="36CC9054" w:rsidTr="00BB2F7C">
        <w:trPr>
          <w:trHeight w:val="252"/>
          <w:jc w:val="center"/>
        </w:trPr>
        <w:tc>
          <w:tcPr>
            <w:tcW w:w="3164" w:type="dxa"/>
            <w:tcBorders>
              <w:top w:val="nil"/>
              <w:left w:val="nil"/>
              <w:bottom w:val="nil"/>
              <w:right w:val="nil"/>
            </w:tcBorders>
            <w:shd w:val="clear" w:color="auto" w:fill="auto"/>
            <w:noWrap/>
            <w:vAlign w:val="center"/>
            <w:hideMark/>
          </w:tcPr>
          <w:p w14:paraId="7C4B506E"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Títulos de deuda</w:t>
            </w:r>
          </w:p>
        </w:tc>
        <w:tc>
          <w:tcPr>
            <w:tcW w:w="861" w:type="dxa"/>
            <w:tcBorders>
              <w:top w:val="nil"/>
              <w:left w:val="nil"/>
              <w:bottom w:val="nil"/>
              <w:right w:val="nil"/>
            </w:tcBorders>
            <w:shd w:val="clear" w:color="auto" w:fill="auto"/>
            <w:noWrap/>
            <w:vAlign w:val="center"/>
            <w:hideMark/>
          </w:tcPr>
          <w:p w14:paraId="70597FB9" w14:textId="5CDD50F1" w:rsidR="005747F1" w:rsidRPr="00FC4688" w:rsidRDefault="005747F1" w:rsidP="005747F1">
            <w:pPr>
              <w:jc w:val="center"/>
              <w:rPr>
                <w:rFonts w:eastAsia="Times New Roman" w:cs="Times New Roman"/>
                <w:color w:val="000000"/>
                <w:sz w:val="16"/>
                <w:szCs w:val="16"/>
                <w:lang w:eastAsia="es-GT"/>
              </w:rPr>
            </w:pPr>
            <w:r>
              <w:rPr>
                <w:color w:val="000000"/>
                <w:sz w:val="18"/>
                <w:szCs w:val="18"/>
              </w:rPr>
              <w:t>22,151.9</w:t>
            </w:r>
          </w:p>
        </w:tc>
        <w:tc>
          <w:tcPr>
            <w:tcW w:w="861" w:type="dxa"/>
            <w:tcBorders>
              <w:top w:val="nil"/>
              <w:left w:val="nil"/>
              <w:bottom w:val="nil"/>
              <w:right w:val="nil"/>
            </w:tcBorders>
            <w:shd w:val="clear" w:color="auto" w:fill="auto"/>
            <w:noWrap/>
            <w:vAlign w:val="center"/>
            <w:hideMark/>
          </w:tcPr>
          <w:p w14:paraId="3485CE79" w14:textId="4351403A" w:rsidR="005747F1" w:rsidRPr="00FC4688" w:rsidRDefault="005747F1" w:rsidP="005747F1">
            <w:pPr>
              <w:jc w:val="center"/>
              <w:rPr>
                <w:rFonts w:eastAsia="Times New Roman" w:cs="Times New Roman"/>
                <w:color w:val="000000"/>
                <w:sz w:val="16"/>
                <w:szCs w:val="16"/>
                <w:lang w:eastAsia="es-GT"/>
              </w:rPr>
            </w:pPr>
            <w:r>
              <w:rPr>
                <w:color w:val="000000"/>
                <w:sz w:val="18"/>
                <w:szCs w:val="18"/>
              </w:rPr>
              <w:t>6,896.4</w:t>
            </w:r>
          </w:p>
        </w:tc>
        <w:tc>
          <w:tcPr>
            <w:tcW w:w="861" w:type="dxa"/>
            <w:tcBorders>
              <w:top w:val="nil"/>
              <w:left w:val="dotDash" w:sz="4" w:space="0" w:color="auto"/>
              <w:bottom w:val="nil"/>
              <w:right w:val="nil"/>
            </w:tcBorders>
            <w:shd w:val="clear" w:color="auto" w:fill="auto"/>
            <w:noWrap/>
            <w:vAlign w:val="center"/>
            <w:hideMark/>
          </w:tcPr>
          <w:p w14:paraId="0C4ED1F3" w14:textId="3A900992" w:rsidR="005747F1" w:rsidRPr="00FC4688" w:rsidRDefault="005747F1" w:rsidP="005747F1">
            <w:pPr>
              <w:jc w:val="center"/>
              <w:rPr>
                <w:rFonts w:eastAsia="Times New Roman" w:cs="Times New Roman"/>
                <w:color w:val="000000"/>
                <w:sz w:val="16"/>
                <w:szCs w:val="16"/>
                <w:lang w:eastAsia="es-GT"/>
              </w:rPr>
            </w:pPr>
            <w:r>
              <w:rPr>
                <w:color w:val="000000"/>
                <w:sz w:val="18"/>
                <w:szCs w:val="18"/>
              </w:rPr>
              <w:t>-15,255.5</w:t>
            </w:r>
          </w:p>
        </w:tc>
        <w:tc>
          <w:tcPr>
            <w:tcW w:w="941" w:type="dxa"/>
            <w:tcBorders>
              <w:top w:val="nil"/>
              <w:left w:val="nil"/>
              <w:bottom w:val="nil"/>
              <w:right w:val="nil"/>
            </w:tcBorders>
            <w:shd w:val="clear" w:color="auto" w:fill="auto"/>
            <w:noWrap/>
            <w:vAlign w:val="center"/>
            <w:hideMark/>
          </w:tcPr>
          <w:p w14:paraId="46D91086" w14:textId="234FF883" w:rsidR="005747F1" w:rsidRPr="00FC4688" w:rsidRDefault="005747F1" w:rsidP="005747F1">
            <w:pPr>
              <w:jc w:val="center"/>
              <w:rPr>
                <w:rFonts w:eastAsia="Times New Roman" w:cs="Times New Roman"/>
                <w:color w:val="000000"/>
                <w:sz w:val="16"/>
                <w:szCs w:val="16"/>
                <w:lang w:eastAsia="es-GT"/>
              </w:rPr>
            </w:pPr>
            <w:r>
              <w:rPr>
                <w:color w:val="000000"/>
                <w:sz w:val="18"/>
                <w:szCs w:val="18"/>
              </w:rPr>
              <w:t>-68.9</w:t>
            </w:r>
          </w:p>
        </w:tc>
        <w:tc>
          <w:tcPr>
            <w:tcW w:w="815" w:type="dxa"/>
            <w:tcBorders>
              <w:top w:val="nil"/>
              <w:left w:val="dotDash" w:sz="4" w:space="0" w:color="auto"/>
              <w:bottom w:val="nil"/>
              <w:right w:val="nil"/>
            </w:tcBorders>
            <w:shd w:val="clear" w:color="auto" w:fill="auto"/>
            <w:vAlign w:val="center"/>
          </w:tcPr>
          <w:p w14:paraId="013B526A" w14:textId="35D54873" w:rsidR="005747F1" w:rsidRPr="002B75BA" w:rsidRDefault="005747F1" w:rsidP="002B75BA">
            <w:pPr>
              <w:jc w:val="center"/>
              <w:rPr>
                <w:color w:val="000000"/>
                <w:sz w:val="16"/>
                <w:szCs w:val="16"/>
              </w:rPr>
            </w:pPr>
            <w:r w:rsidRPr="002B75BA">
              <w:rPr>
                <w:color w:val="000000"/>
                <w:sz w:val="16"/>
                <w:szCs w:val="16"/>
              </w:rPr>
              <w:t>3.3</w:t>
            </w:r>
          </w:p>
        </w:tc>
        <w:tc>
          <w:tcPr>
            <w:tcW w:w="709" w:type="dxa"/>
            <w:tcBorders>
              <w:top w:val="nil"/>
              <w:left w:val="nil"/>
              <w:bottom w:val="nil"/>
              <w:right w:val="nil"/>
            </w:tcBorders>
            <w:shd w:val="clear" w:color="auto" w:fill="auto"/>
            <w:vAlign w:val="center"/>
          </w:tcPr>
          <w:p w14:paraId="60C9AEAB" w14:textId="52492856" w:rsidR="005747F1" w:rsidRPr="002B75BA" w:rsidRDefault="005747F1" w:rsidP="002B75BA">
            <w:pPr>
              <w:jc w:val="center"/>
              <w:rPr>
                <w:color w:val="000000"/>
                <w:sz w:val="16"/>
                <w:szCs w:val="16"/>
              </w:rPr>
            </w:pPr>
            <w:r w:rsidRPr="002B75BA">
              <w:rPr>
                <w:color w:val="000000"/>
                <w:sz w:val="16"/>
                <w:szCs w:val="16"/>
              </w:rPr>
              <w:t>0.9</w:t>
            </w:r>
          </w:p>
        </w:tc>
      </w:tr>
      <w:tr w:rsidR="005747F1" w:rsidRPr="00FC4688" w14:paraId="0146A179" w14:textId="1D0C2587" w:rsidTr="00BB2F7C">
        <w:trPr>
          <w:trHeight w:val="252"/>
          <w:jc w:val="center"/>
        </w:trPr>
        <w:tc>
          <w:tcPr>
            <w:tcW w:w="3164" w:type="dxa"/>
            <w:tcBorders>
              <w:top w:val="nil"/>
              <w:left w:val="nil"/>
              <w:bottom w:val="nil"/>
              <w:right w:val="nil"/>
            </w:tcBorders>
            <w:shd w:val="clear" w:color="auto" w:fill="auto"/>
            <w:noWrap/>
            <w:vAlign w:val="center"/>
            <w:hideMark/>
          </w:tcPr>
          <w:p w14:paraId="295B54FE"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2FD858FC" w14:textId="11DD2DDB" w:rsidR="005747F1" w:rsidRPr="00FC4688" w:rsidRDefault="005747F1" w:rsidP="005747F1">
            <w:pPr>
              <w:jc w:val="center"/>
              <w:rPr>
                <w:rFonts w:eastAsia="Times New Roman" w:cs="Times New Roman"/>
                <w:color w:val="000000"/>
                <w:sz w:val="16"/>
                <w:szCs w:val="16"/>
                <w:lang w:eastAsia="es-GT"/>
              </w:rPr>
            </w:pPr>
            <w:r>
              <w:rPr>
                <w:color w:val="000000"/>
                <w:sz w:val="18"/>
                <w:szCs w:val="18"/>
              </w:rPr>
              <w:t>-2,496.2</w:t>
            </w:r>
          </w:p>
        </w:tc>
        <w:tc>
          <w:tcPr>
            <w:tcW w:w="861" w:type="dxa"/>
            <w:tcBorders>
              <w:top w:val="nil"/>
              <w:left w:val="nil"/>
              <w:bottom w:val="nil"/>
              <w:right w:val="nil"/>
            </w:tcBorders>
            <w:shd w:val="clear" w:color="auto" w:fill="auto"/>
            <w:noWrap/>
            <w:vAlign w:val="center"/>
            <w:hideMark/>
          </w:tcPr>
          <w:p w14:paraId="19DA84AE" w14:textId="1FD7F536" w:rsidR="005747F1" w:rsidRPr="00FC4688" w:rsidRDefault="005747F1" w:rsidP="005747F1">
            <w:pPr>
              <w:jc w:val="center"/>
              <w:rPr>
                <w:rFonts w:eastAsia="Times New Roman" w:cs="Times New Roman"/>
                <w:color w:val="000000"/>
                <w:sz w:val="16"/>
                <w:szCs w:val="16"/>
                <w:lang w:eastAsia="es-GT"/>
              </w:rPr>
            </w:pPr>
            <w:r>
              <w:rPr>
                <w:color w:val="000000"/>
                <w:sz w:val="18"/>
                <w:szCs w:val="18"/>
              </w:rPr>
              <w:t>1,724.0</w:t>
            </w:r>
          </w:p>
        </w:tc>
        <w:tc>
          <w:tcPr>
            <w:tcW w:w="861" w:type="dxa"/>
            <w:tcBorders>
              <w:top w:val="nil"/>
              <w:left w:val="dotDash" w:sz="4" w:space="0" w:color="auto"/>
              <w:bottom w:val="nil"/>
              <w:right w:val="nil"/>
            </w:tcBorders>
            <w:shd w:val="clear" w:color="auto" w:fill="auto"/>
            <w:noWrap/>
            <w:vAlign w:val="center"/>
            <w:hideMark/>
          </w:tcPr>
          <w:p w14:paraId="6F20C579" w14:textId="464422F5" w:rsidR="005747F1" w:rsidRPr="00FC4688" w:rsidRDefault="005747F1" w:rsidP="005747F1">
            <w:pPr>
              <w:jc w:val="center"/>
              <w:rPr>
                <w:rFonts w:eastAsia="Times New Roman" w:cs="Times New Roman"/>
                <w:color w:val="000000"/>
                <w:sz w:val="16"/>
                <w:szCs w:val="16"/>
                <w:lang w:eastAsia="es-GT"/>
              </w:rPr>
            </w:pPr>
            <w:r>
              <w:rPr>
                <w:color w:val="000000"/>
                <w:sz w:val="18"/>
                <w:szCs w:val="18"/>
              </w:rPr>
              <w:t>4,220.3</w:t>
            </w:r>
          </w:p>
        </w:tc>
        <w:tc>
          <w:tcPr>
            <w:tcW w:w="941" w:type="dxa"/>
            <w:tcBorders>
              <w:top w:val="nil"/>
              <w:left w:val="nil"/>
              <w:bottom w:val="nil"/>
              <w:right w:val="nil"/>
            </w:tcBorders>
            <w:shd w:val="clear" w:color="auto" w:fill="auto"/>
            <w:noWrap/>
            <w:vAlign w:val="center"/>
            <w:hideMark/>
          </w:tcPr>
          <w:p w14:paraId="5744B0FC" w14:textId="2B97CFA1" w:rsidR="005747F1" w:rsidRPr="00FC4688" w:rsidRDefault="005747F1" w:rsidP="005747F1">
            <w:pPr>
              <w:jc w:val="center"/>
              <w:rPr>
                <w:rFonts w:eastAsia="Times New Roman" w:cs="Times New Roman"/>
                <w:color w:val="000000"/>
                <w:sz w:val="16"/>
                <w:szCs w:val="16"/>
                <w:lang w:eastAsia="es-GT"/>
              </w:rPr>
            </w:pPr>
            <w:r>
              <w:rPr>
                <w:color w:val="000000"/>
                <w:sz w:val="18"/>
                <w:szCs w:val="18"/>
              </w:rPr>
              <w:t>-169.1</w:t>
            </w:r>
          </w:p>
        </w:tc>
        <w:tc>
          <w:tcPr>
            <w:tcW w:w="815" w:type="dxa"/>
            <w:tcBorders>
              <w:top w:val="nil"/>
              <w:left w:val="dotDash" w:sz="4" w:space="0" w:color="auto"/>
              <w:bottom w:val="nil"/>
              <w:right w:val="nil"/>
            </w:tcBorders>
            <w:shd w:val="clear" w:color="auto" w:fill="auto"/>
            <w:vAlign w:val="center"/>
          </w:tcPr>
          <w:p w14:paraId="016ABB98" w14:textId="5B9D4CCC" w:rsidR="005747F1" w:rsidRPr="002B75BA" w:rsidRDefault="005747F1" w:rsidP="002B75BA">
            <w:pPr>
              <w:jc w:val="center"/>
              <w:rPr>
                <w:color w:val="000000"/>
                <w:sz w:val="16"/>
                <w:szCs w:val="16"/>
              </w:rPr>
            </w:pPr>
            <w:r w:rsidRPr="002B75BA">
              <w:rPr>
                <w:color w:val="000000"/>
                <w:sz w:val="16"/>
                <w:szCs w:val="16"/>
              </w:rPr>
              <w:t>-0.4</w:t>
            </w:r>
          </w:p>
        </w:tc>
        <w:tc>
          <w:tcPr>
            <w:tcW w:w="709" w:type="dxa"/>
            <w:tcBorders>
              <w:top w:val="nil"/>
              <w:left w:val="nil"/>
              <w:bottom w:val="nil"/>
              <w:right w:val="nil"/>
            </w:tcBorders>
            <w:shd w:val="clear" w:color="auto" w:fill="auto"/>
            <w:vAlign w:val="center"/>
          </w:tcPr>
          <w:p w14:paraId="76086AE8" w14:textId="3C981AFB" w:rsidR="005747F1" w:rsidRPr="002B75BA" w:rsidRDefault="005747F1" w:rsidP="002B75BA">
            <w:pPr>
              <w:jc w:val="center"/>
              <w:rPr>
                <w:color w:val="000000"/>
                <w:sz w:val="16"/>
                <w:szCs w:val="16"/>
              </w:rPr>
            </w:pPr>
            <w:r w:rsidRPr="002B75BA">
              <w:rPr>
                <w:color w:val="000000"/>
                <w:sz w:val="16"/>
                <w:szCs w:val="16"/>
              </w:rPr>
              <w:t>0.2</w:t>
            </w:r>
          </w:p>
        </w:tc>
      </w:tr>
      <w:tr w:rsidR="005747F1" w:rsidRPr="00FC4688" w14:paraId="53DE527D" w14:textId="1AEB5FC3" w:rsidTr="00BB2F7C">
        <w:trPr>
          <w:trHeight w:val="252"/>
          <w:jc w:val="center"/>
        </w:trPr>
        <w:tc>
          <w:tcPr>
            <w:tcW w:w="3164" w:type="dxa"/>
            <w:tcBorders>
              <w:top w:val="nil"/>
              <w:left w:val="nil"/>
              <w:bottom w:val="nil"/>
              <w:right w:val="nil"/>
            </w:tcBorders>
            <w:shd w:val="clear" w:color="auto" w:fill="auto"/>
            <w:noWrap/>
            <w:vAlign w:val="center"/>
            <w:hideMark/>
          </w:tcPr>
          <w:p w14:paraId="0DAD3DFB" w14:textId="77777777" w:rsidR="005747F1" w:rsidRPr="00FC4688" w:rsidRDefault="005747F1" w:rsidP="005747F1">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A2F814E" w14:textId="30AC2397" w:rsidR="005747F1" w:rsidRPr="00FC4688" w:rsidRDefault="005747F1" w:rsidP="005747F1">
            <w:pPr>
              <w:jc w:val="center"/>
              <w:rPr>
                <w:rFonts w:eastAsia="Times New Roman" w:cs="Times New Roman"/>
                <w:color w:val="000000"/>
                <w:sz w:val="16"/>
                <w:szCs w:val="16"/>
                <w:lang w:eastAsia="es-GT"/>
              </w:rPr>
            </w:pPr>
            <w:r>
              <w:rPr>
                <w:color w:val="000000"/>
                <w:sz w:val="18"/>
                <w:szCs w:val="18"/>
              </w:rPr>
              <w:t>-494.3</w:t>
            </w:r>
          </w:p>
        </w:tc>
        <w:tc>
          <w:tcPr>
            <w:tcW w:w="861" w:type="dxa"/>
            <w:tcBorders>
              <w:top w:val="nil"/>
              <w:left w:val="nil"/>
              <w:bottom w:val="nil"/>
              <w:right w:val="nil"/>
            </w:tcBorders>
            <w:shd w:val="clear" w:color="auto" w:fill="auto"/>
            <w:noWrap/>
            <w:vAlign w:val="center"/>
            <w:hideMark/>
          </w:tcPr>
          <w:p w14:paraId="1B805861" w14:textId="22A1684F" w:rsidR="005747F1" w:rsidRPr="00FC4688" w:rsidRDefault="005747F1" w:rsidP="005747F1">
            <w:pPr>
              <w:jc w:val="center"/>
              <w:rPr>
                <w:rFonts w:eastAsia="Times New Roman" w:cs="Times New Roman"/>
                <w:color w:val="000000"/>
                <w:sz w:val="16"/>
                <w:szCs w:val="16"/>
                <w:lang w:eastAsia="es-GT"/>
              </w:rPr>
            </w:pPr>
            <w:r>
              <w:rPr>
                <w:color w:val="000000"/>
                <w:sz w:val="18"/>
                <w:szCs w:val="18"/>
              </w:rPr>
              <w:t>311.6</w:t>
            </w:r>
          </w:p>
        </w:tc>
        <w:tc>
          <w:tcPr>
            <w:tcW w:w="861" w:type="dxa"/>
            <w:tcBorders>
              <w:top w:val="nil"/>
              <w:left w:val="dotDash" w:sz="4" w:space="0" w:color="auto"/>
              <w:bottom w:val="nil"/>
              <w:right w:val="nil"/>
            </w:tcBorders>
            <w:shd w:val="clear" w:color="auto" w:fill="auto"/>
            <w:noWrap/>
            <w:vAlign w:val="center"/>
            <w:hideMark/>
          </w:tcPr>
          <w:p w14:paraId="25CB4487" w14:textId="0A4716A9" w:rsidR="005747F1" w:rsidRPr="00FC4688" w:rsidRDefault="005747F1" w:rsidP="005747F1">
            <w:pPr>
              <w:jc w:val="center"/>
              <w:rPr>
                <w:rFonts w:eastAsia="Times New Roman" w:cs="Times New Roman"/>
                <w:color w:val="000000"/>
                <w:sz w:val="16"/>
                <w:szCs w:val="16"/>
                <w:lang w:eastAsia="es-GT"/>
              </w:rPr>
            </w:pPr>
            <w:r>
              <w:rPr>
                <w:color w:val="000000"/>
                <w:sz w:val="18"/>
                <w:szCs w:val="18"/>
              </w:rPr>
              <w:t>805.9</w:t>
            </w:r>
          </w:p>
        </w:tc>
        <w:tc>
          <w:tcPr>
            <w:tcW w:w="941" w:type="dxa"/>
            <w:tcBorders>
              <w:top w:val="nil"/>
              <w:left w:val="nil"/>
              <w:bottom w:val="nil"/>
              <w:right w:val="nil"/>
            </w:tcBorders>
            <w:shd w:val="clear" w:color="auto" w:fill="auto"/>
            <w:noWrap/>
            <w:vAlign w:val="center"/>
            <w:hideMark/>
          </w:tcPr>
          <w:p w14:paraId="0210A6DE" w14:textId="151023C1" w:rsidR="005747F1" w:rsidRPr="00FC4688" w:rsidRDefault="005747F1" w:rsidP="005747F1">
            <w:pPr>
              <w:jc w:val="center"/>
              <w:rPr>
                <w:rFonts w:eastAsia="Times New Roman" w:cs="Times New Roman"/>
                <w:color w:val="000000"/>
                <w:sz w:val="16"/>
                <w:szCs w:val="16"/>
                <w:lang w:eastAsia="es-GT"/>
              </w:rPr>
            </w:pPr>
            <w:r>
              <w:rPr>
                <w:color w:val="000000"/>
                <w:sz w:val="18"/>
                <w:szCs w:val="18"/>
              </w:rPr>
              <w:t>-163.0</w:t>
            </w:r>
          </w:p>
        </w:tc>
        <w:tc>
          <w:tcPr>
            <w:tcW w:w="815" w:type="dxa"/>
            <w:tcBorders>
              <w:top w:val="nil"/>
              <w:left w:val="dotDash" w:sz="4" w:space="0" w:color="auto"/>
              <w:bottom w:val="nil"/>
              <w:right w:val="nil"/>
            </w:tcBorders>
            <w:shd w:val="clear" w:color="auto" w:fill="auto"/>
            <w:vAlign w:val="center"/>
          </w:tcPr>
          <w:p w14:paraId="6E124F62" w14:textId="324FE61A" w:rsidR="005747F1" w:rsidRPr="002B75BA" w:rsidRDefault="005747F1" w:rsidP="002B75BA">
            <w:pPr>
              <w:jc w:val="center"/>
              <w:rPr>
                <w:color w:val="000000"/>
                <w:sz w:val="16"/>
                <w:szCs w:val="16"/>
              </w:rPr>
            </w:pPr>
            <w:r w:rsidRPr="002B75BA">
              <w:rPr>
                <w:color w:val="000000"/>
                <w:sz w:val="16"/>
                <w:szCs w:val="16"/>
              </w:rPr>
              <w:t>-0.1</w:t>
            </w:r>
          </w:p>
        </w:tc>
        <w:tc>
          <w:tcPr>
            <w:tcW w:w="709" w:type="dxa"/>
            <w:tcBorders>
              <w:top w:val="nil"/>
              <w:left w:val="nil"/>
              <w:bottom w:val="nil"/>
              <w:right w:val="nil"/>
            </w:tcBorders>
            <w:shd w:val="clear" w:color="auto" w:fill="auto"/>
            <w:vAlign w:val="center"/>
          </w:tcPr>
          <w:p w14:paraId="52C58126" w14:textId="3E3B41E5" w:rsidR="005747F1" w:rsidRPr="002B75BA" w:rsidRDefault="005747F1" w:rsidP="002B75BA">
            <w:pPr>
              <w:jc w:val="center"/>
              <w:rPr>
                <w:color w:val="000000"/>
                <w:sz w:val="16"/>
                <w:szCs w:val="16"/>
              </w:rPr>
            </w:pPr>
            <w:r w:rsidRPr="002B75BA">
              <w:rPr>
                <w:color w:val="000000"/>
                <w:sz w:val="16"/>
                <w:szCs w:val="16"/>
              </w:rPr>
              <w:t>0.04</w:t>
            </w:r>
          </w:p>
        </w:tc>
      </w:tr>
      <w:tr w:rsidR="005747F1" w:rsidRPr="00FC4688" w14:paraId="2B640124" w14:textId="4FB54084" w:rsidTr="00BB2F7C">
        <w:trPr>
          <w:trHeight w:val="252"/>
          <w:jc w:val="center"/>
        </w:trPr>
        <w:tc>
          <w:tcPr>
            <w:tcW w:w="3164" w:type="dxa"/>
            <w:tcBorders>
              <w:top w:val="nil"/>
              <w:left w:val="nil"/>
              <w:bottom w:val="nil"/>
              <w:right w:val="nil"/>
            </w:tcBorders>
            <w:shd w:val="clear" w:color="auto" w:fill="auto"/>
            <w:noWrap/>
            <w:vAlign w:val="center"/>
            <w:hideMark/>
          </w:tcPr>
          <w:p w14:paraId="130F55F7" w14:textId="77777777" w:rsidR="005747F1" w:rsidRPr="00FC4688" w:rsidRDefault="005747F1" w:rsidP="005747F1">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Discrepancia estadística global</w:t>
            </w:r>
          </w:p>
        </w:tc>
        <w:tc>
          <w:tcPr>
            <w:tcW w:w="861" w:type="dxa"/>
            <w:tcBorders>
              <w:top w:val="nil"/>
              <w:left w:val="nil"/>
              <w:bottom w:val="nil"/>
              <w:right w:val="nil"/>
            </w:tcBorders>
            <w:shd w:val="clear" w:color="auto" w:fill="auto"/>
            <w:noWrap/>
            <w:vAlign w:val="center"/>
            <w:hideMark/>
          </w:tcPr>
          <w:p w14:paraId="4E6192F6" w14:textId="38C8E03C"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740.0</w:t>
            </w:r>
          </w:p>
        </w:tc>
        <w:tc>
          <w:tcPr>
            <w:tcW w:w="861" w:type="dxa"/>
            <w:tcBorders>
              <w:top w:val="nil"/>
              <w:left w:val="nil"/>
              <w:bottom w:val="nil"/>
              <w:right w:val="nil"/>
            </w:tcBorders>
            <w:shd w:val="clear" w:color="auto" w:fill="auto"/>
            <w:noWrap/>
            <w:vAlign w:val="center"/>
            <w:hideMark/>
          </w:tcPr>
          <w:p w14:paraId="104FC3FB" w14:textId="2FF15E19"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86.8</w:t>
            </w:r>
          </w:p>
        </w:tc>
        <w:tc>
          <w:tcPr>
            <w:tcW w:w="861" w:type="dxa"/>
            <w:tcBorders>
              <w:top w:val="nil"/>
              <w:left w:val="dotDash" w:sz="4" w:space="0" w:color="auto"/>
              <w:bottom w:val="nil"/>
              <w:right w:val="nil"/>
            </w:tcBorders>
            <w:shd w:val="clear" w:color="auto" w:fill="auto"/>
            <w:noWrap/>
            <w:vAlign w:val="center"/>
            <w:hideMark/>
          </w:tcPr>
          <w:p w14:paraId="5F1E3B24" w14:textId="6011F102"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-653.2</w:t>
            </w:r>
          </w:p>
        </w:tc>
        <w:tc>
          <w:tcPr>
            <w:tcW w:w="941" w:type="dxa"/>
            <w:tcBorders>
              <w:top w:val="nil"/>
              <w:left w:val="nil"/>
              <w:bottom w:val="nil"/>
              <w:right w:val="nil"/>
            </w:tcBorders>
            <w:shd w:val="clear" w:color="auto" w:fill="auto"/>
            <w:noWrap/>
            <w:vAlign w:val="center"/>
            <w:hideMark/>
          </w:tcPr>
          <w:p w14:paraId="25CFAE72" w14:textId="607EFD1A" w:rsidR="005747F1" w:rsidRPr="00FC4688" w:rsidRDefault="005747F1" w:rsidP="005747F1">
            <w:pPr>
              <w:jc w:val="center"/>
              <w:rPr>
                <w:rFonts w:eastAsia="Times New Roman" w:cs="Times New Roman"/>
                <w:b/>
                <w:bCs/>
                <w:color w:val="000000"/>
                <w:sz w:val="16"/>
                <w:szCs w:val="16"/>
                <w:lang w:eastAsia="es-GT"/>
              </w:rPr>
            </w:pPr>
            <w:r>
              <w:rPr>
                <w:b/>
                <w:bCs/>
                <w:color w:val="000000"/>
                <w:sz w:val="18"/>
                <w:szCs w:val="18"/>
              </w:rPr>
              <w:t>-88.3</w:t>
            </w:r>
          </w:p>
        </w:tc>
        <w:tc>
          <w:tcPr>
            <w:tcW w:w="815" w:type="dxa"/>
            <w:tcBorders>
              <w:top w:val="nil"/>
              <w:left w:val="dotDash" w:sz="4" w:space="0" w:color="auto"/>
              <w:bottom w:val="nil"/>
              <w:right w:val="nil"/>
            </w:tcBorders>
            <w:shd w:val="clear" w:color="auto" w:fill="auto"/>
            <w:vAlign w:val="center"/>
          </w:tcPr>
          <w:p w14:paraId="39434E06" w14:textId="025BCEDA" w:rsidR="005747F1" w:rsidRPr="002B75BA" w:rsidRDefault="005747F1" w:rsidP="002B75BA">
            <w:pPr>
              <w:jc w:val="center"/>
              <w:rPr>
                <w:b/>
                <w:bCs/>
                <w:color w:val="000000"/>
                <w:sz w:val="16"/>
                <w:szCs w:val="16"/>
              </w:rPr>
            </w:pPr>
            <w:r w:rsidRPr="002B75BA">
              <w:rPr>
                <w:b/>
                <w:bCs/>
                <w:color w:val="000000"/>
                <w:sz w:val="16"/>
                <w:szCs w:val="16"/>
              </w:rPr>
              <w:t>0.1</w:t>
            </w:r>
          </w:p>
        </w:tc>
        <w:tc>
          <w:tcPr>
            <w:tcW w:w="709" w:type="dxa"/>
            <w:tcBorders>
              <w:top w:val="nil"/>
              <w:left w:val="nil"/>
              <w:bottom w:val="nil"/>
              <w:right w:val="nil"/>
            </w:tcBorders>
            <w:shd w:val="clear" w:color="auto" w:fill="auto"/>
            <w:vAlign w:val="center"/>
          </w:tcPr>
          <w:p w14:paraId="7778E084" w14:textId="171B40D0" w:rsidR="005747F1" w:rsidRPr="002B75BA" w:rsidRDefault="005747F1" w:rsidP="002B75BA">
            <w:pPr>
              <w:jc w:val="center"/>
              <w:rPr>
                <w:b/>
                <w:bCs/>
                <w:color w:val="000000"/>
                <w:sz w:val="16"/>
                <w:szCs w:val="16"/>
              </w:rPr>
            </w:pPr>
            <w:r w:rsidRPr="002B75BA">
              <w:rPr>
                <w:b/>
                <w:bCs/>
                <w:color w:val="000000"/>
                <w:sz w:val="16"/>
                <w:szCs w:val="16"/>
              </w:rPr>
              <w:t>0.0</w:t>
            </w:r>
          </w:p>
        </w:tc>
      </w:tr>
    </w:tbl>
    <w:p w14:paraId="0A0D6136" w14:textId="77777777" w:rsidR="002B75BA" w:rsidRDefault="002B75BA" w:rsidP="002B75BA">
      <w:pPr>
        <w:ind w:firstLine="708"/>
        <w:rPr>
          <w:rFonts w:cs="Times New Roman"/>
          <w:sz w:val="16"/>
          <w:szCs w:val="22"/>
          <w:lang w:val="es-MX"/>
        </w:rPr>
      </w:pPr>
    </w:p>
    <w:p w14:paraId="3350F89B" w14:textId="7F5F675D" w:rsidR="003C303F" w:rsidRPr="00FC4688" w:rsidRDefault="003C303F" w:rsidP="002B75BA">
      <w:pPr>
        <w:ind w:firstLine="708"/>
        <w:rPr>
          <w:rFonts w:cs="Times New Roman"/>
          <w:sz w:val="16"/>
          <w:szCs w:val="22"/>
          <w:lang w:val="es-MX"/>
        </w:rPr>
      </w:pPr>
      <w:r w:rsidRPr="00FC4688">
        <w:rPr>
          <w:rFonts w:cs="Times New Roman"/>
          <w:sz w:val="16"/>
          <w:szCs w:val="22"/>
          <w:lang w:val="es-MX"/>
        </w:rPr>
        <w:t>*Cifras preliminares</w:t>
      </w:r>
    </w:p>
    <w:p w14:paraId="445E1632" w14:textId="77777777" w:rsidR="003C303F" w:rsidRDefault="003C303F" w:rsidP="002B75BA">
      <w:pPr>
        <w:ind w:firstLine="708"/>
        <w:rPr>
          <w:rFonts w:cs="Times New Roman"/>
          <w:sz w:val="16"/>
          <w:szCs w:val="22"/>
          <w:lang w:val="es-MX"/>
        </w:rPr>
      </w:pPr>
      <w:r w:rsidRPr="00FC4688">
        <w:rPr>
          <w:rFonts w:cs="Times New Roman"/>
          <w:sz w:val="16"/>
          <w:szCs w:val="22"/>
          <w:lang w:val="es-MX"/>
        </w:rPr>
        <w:t>Fuente: MINFIN</w:t>
      </w:r>
    </w:p>
    <w:p w14:paraId="6886455E" w14:textId="77777777" w:rsidR="006939D7" w:rsidRPr="00BF230D" w:rsidRDefault="006939D7" w:rsidP="007105EE">
      <w:pPr>
        <w:ind w:left="1134"/>
        <w:rPr>
          <w:rFonts w:cs="Times New Roman"/>
          <w:sz w:val="16"/>
          <w:szCs w:val="22"/>
          <w:lang w:val="es-MX"/>
        </w:rPr>
      </w:pPr>
    </w:p>
    <w:sectPr w:rsidR="006939D7" w:rsidRPr="00BF230D" w:rsidSect="0032077E">
      <w:headerReference w:type="default" r:id="rId46"/>
      <w:footerReference w:type="default" r:id="rId47"/>
      <w:headerReference w:type="first" r:id="rId48"/>
      <w:footerReference w:type="first" r:id="rId49"/>
      <w:type w:val="continuous"/>
      <w:pgSz w:w="12240" w:h="15840" w:code="1"/>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658C" w14:textId="77777777" w:rsidR="00EA6878" w:rsidRDefault="00EA6878" w:rsidP="000B5E1C">
      <w:r>
        <w:separator/>
      </w:r>
    </w:p>
  </w:endnote>
  <w:endnote w:type="continuationSeparator" w:id="0">
    <w:p w14:paraId="5FCEE0F3" w14:textId="77777777" w:rsidR="00EA6878" w:rsidRDefault="00EA6878" w:rsidP="000B5E1C">
      <w:r>
        <w:continuationSeparator/>
      </w:r>
    </w:p>
  </w:endnote>
  <w:endnote w:type="continuationNotice" w:id="1">
    <w:p w14:paraId="62C86E74" w14:textId="77777777" w:rsidR="00EA6878" w:rsidRDefault="00EA6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Content>
      <w:p w14:paraId="040AFEF9" w14:textId="77777777"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AC71A1"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4A5583" w:rsidRPr="004A5583">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4E4454A" w14:textId="290A7F93" w:rsidR="000A5B5B" w:rsidRPr="00D5619D" w:rsidRDefault="000A5B5B" w:rsidP="003813F7">
    <w:pPr>
      <w:pStyle w:val="Piedepgina"/>
      <w:tabs>
        <w:tab w:val="clear" w:pos="8838"/>
        <w:tab w:val="left" w:pos="5173"/>
      </w:tabs>
      <w:rPr>
        <w:rFonts w:cs="Times New Roman"/>
        <w:i/>
        <w:color w:val="1F497D" w:themeColor="text2"/>
      </w:rPr>
    </w:pPr>
    <w:r w:rsidRPr="00D5619D">
      <w:rPr>
        <w:rFonts w:cs="Times New Roman"/>
        <w:i/>
        <w:color w:val="1F497D" w:themeColor="text2"/>
      </w:rPr>
      <w:t>Informe d</w:t>
    </w:r>
    <w:r>
      <w:rPr>
        <w:rFonts w:cs="Times New Roman"/>
        <w:i/>
        <w:color w:val="1F497D" w:themeColor="text2"/>
      </w:rPr>
      <w:t xml:space="preserve">e las Finanzas Públicas </w:t>
    </w:r>
    <w:r w:rsidR="004869FF">
      <w:rPr>
        <w:rFonts w:cs="Times New Roman"/>
        <w:i/>
        <w:color w:val="1F497D" w:themeColor="text2"/>
      </w:rPr>
      <w:t>–</w:t>
    </w:r>
    <w:r>
      <w:rPr>
        <w:rFonts w:cs="Times New Roman"/>
        <w:i/>
        <w:color w:val="1F497D" w:themeColor="text2"/>
      </w:rPr>
      <w:t xml:space="preserve"> </w:t>
    </w:r>
    <w:r w:rsidR="0032077E">
      <w:rPr>
        <w:rFonts w:cs="Times New Roman"/>
        <w:i/>
        <w:color w:val="1F497D" w:themeColor="text2"/>
      </w:rPr>
      <w:t>Año</w:t>
    </w:r>
    <w:r w:rsidR="004869FF">
      <w:rPr>
        <w:rFonts w:cs="Times New Roman"/>
        <w:i/>
        <w:color w:val="1F497D" w:themeColor="text2"/>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AF1"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7BC039"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tR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E8F5" w14:textId="77777777" w:rsidR="00EA6878" w:rsidRDefault="00EA6878" w:rsidP="000B5E1C">
      <w:r>
        <w:separator/>
      </w:r>
    </w:p>
  </w:footnote>
  <w:footnote w:type="continuationSeparator" w:id="0">
    <w:p w14:paraId="74BEAB12" w14:textId="77777777" w:rsidR="00EA6878" w:rsidRDefault="00EA6878" w:rsidP="000B5E1C">
      <w:r>
        <w:continuationSeparator/>
      </w:r>
    </w:p>
  </w:footnote>
  <w:footnote w:type="continuationNotice" w:id="1">
    <w:p w14:paraId="48308CB4" w14:textId="77777777" w:rsidR="00EA6878" w:rsidRDefault="00EA68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14C" w14:textId="77777777" w:rsidR="000A5B5B" w:rsidRPr="00AC45C7" w:rsidRDefault="000A5B5B" w:rsidP="00AC45C7">
    <w:pPr>
      <w:pStyle w:val="Encabezado"/>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5677A061">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532A6"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Pr="002E105E">
      <w:rPr>
        <w:noProof/>
        <w:sz w:val="20"/>
        <w:lang w:eastAsia="es-GT"/>
      </w:rPr>
      <w:drawing>
        <wp:anchor distT="0" distB="0" distL="114300" distR="114300" simplePos="0" relativeHeight="251660290" behindDoc="1" locked="1" layoutInCell="1" allowOverlap="1" wp14:anchorId="2B23BD24" wp14:editId="5AC8EE41">
          <wp:simplePos x="0" y="0"/>
          <wp:positionH relativeFrom="column">
            <wp:posOffset>-635</wp:posOffset>
          </wp:positionH>
          <wp:positionV relativeFrom="page">
            <wp:posOffset>10795</wp:posOffset>
          </wp:positionV>
          <wp:extent cx="1097280" cy="875030"/>
          <wp:effectExtent l="0" t="0" r="7620" b="1270"/>
          <wp:wrapNone/>
          <wp:docPr id="2115765263" name="Imagen 211576526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5"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09728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674F" w14:textId="77777777"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B420C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0"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91714605">
    <w:abstractNumId w:val="26"/>
  </w:num>
  <w:num w:numId="2" w16cid:durableId="145782177">
    <w:abstractNumId w:val="24"/>
  </w:num>
  <w:num w:numId="3" w16cid:durableId="988896529">
    <w:abstractNumId w:val="13"/>
  </w:num>
  <w:num w:numId="4" w16cid:durableId="344945637">
    <w:abstractNumId w:val="12"/>
  </w:num>
  <w:num w:numId="5" w16cid:durableId="973948694">
    <w:abstractNumId w:val="30"/>
  </w:num>
  <w:num w:numId="6" w16cid:durableId="1617060443">
    <w:abstractNumId w:val="41"/>
  </w:num>
  <w:num w:numId="7" w16cid:durableId="2046978560">
    <w:abstractNumId w:val="31"/>
  </w:num>
  <w:num w:numId="8" w16cid:durableId="1288123764">
    <w:abstractNumId w:val="4"/>
  </w:num>
  <w:num w:numId="9" w16cid:durableId="703556887">
    <w:abstractNumId w:val="3"/>
  </w:num>
  <w:num w:numId="10" w16cid:durableId="1677685266">
    <w:abstractNumId w:val="19"/>
  </w:num>
  <w:num w:numId="11" w16cid:durableId="1658992301">
    <w:abstractNumId w:val="20"/>
  </w:num>
  <w:num w:numId="12" w16cid:durableId="1780489478">
    <w:abstractNumId w:val="23"/>
  </w:num>
  <w:num w:numId="13" w16cid:durableId="179442432">
    <w:abstractNumId w:val="32"/>
  </w:num>
  <w:num w:numId="14" w16cid:durableId="121852010">
    <w:abstractNumId w:val="27"/>
  </w:num>
  <w:num w:numId="15" w16cid:durableId="1879507176">
    <w:abstractNumId w:val="7"/>
  </w:num>
  <w:num w:numId="16" w16cid:durableId="384135484">
    <w:abstractNumId w:val="0"/>
  </w:num>
  <w:num w:numId="17" w16cid:durableId="1928150764">
    <w:abstractNumId w:val="17"/>
  </w:num>
  <w:num w:numId="18" w16cid:durableId="1542859065">
    <w:abstractNumId w:val="22"/>
  </w:num>
  <w:num w:numId="19" w16cid:durableId="752701446">
    <w:abstractNumId w:val="35"/>
  </w:num>
  <w:num w:numId="20" w16cid:durableId="368142125">
    <w:abstractNumId w:val="16"/>
  </w:num>
  <w:num w:numId="21" w16cid:durableId="883713067">
    <w:abstractNumId w:val="37"/>
  </w:num>
  <w:num w:numId="22" w16cid:durableId="291594295">
    <w:abstractNumId w:val="39"/>
  </w:num>
  <w:num w:numId="23" w16cid:durableId="1415318432">
    <w:abstractNumId w:val="15"/>
  </w:num>
  <w:num w:numId="24" w16cid:durableId="2033067842">
    <w:abstractNumId w:val="15"/>
  </w:num>
  <w:num w:numId="25" w16cid:durableId="817844925">
    <w:abstractNumId w:val="9"/>
  </w:num>
  <w:num w:numId="26" w16cid:durableId="431433437">
    <w:abstractNumId w:val="2"/>
  </w:num>
  <w:num w:numId="27" w16cid:durableId="1261335481">
    <w:abstractNumId w:val="36"/>
  </w:num>
  <w:num w:numId="28" w16cid:durableId="2087339055">
    <w:abstractNumId w:val="10"/>
  </w:num>
  <w:num w:numId="29" w16cid:durableId="124087663">
    <w:abstractNumId w:val="14"/>
  </w:num>
  <w:num w:numId="30" w16cid:durableId="1986623504">
    <w:abstractNumId w:val="40"/>
  </w:num>
  <w:num w:numId="31" w16cid:durableId="1711494740">
    <w:abstractNumId w:val="1"/>
  </w:num>
  <w:num w:numId="32" w16cid:durableId="207231450">
    <w:abstractNumId w:val="34"/>
  </w:num>
  <w:num w:numId="33" w16cid:durableId="919026045">
    <w:abstractNumId w:val="42"/>
  </w:num>
  <w:num w:numId="34" w16cid:durableId="1002900525">
    <w:abstractNumId w:val="18"/>
  </w:num>
  <w:num w:numId="35" w16cid:durableId="207379030">
    <w:abstractNumId w:val="11"/>
  </w:num>
  <w:num w:numId="36" w16cid:durableId="362218208">
    <w:abstractNumId w:val="43"/>
  </w:num>
  <w:num w:numId="37" w16cid:durableId="1154489402">
    <w:abstractNumId w:val="33"/>
  </w:num>
  <w:num w:numId="38" w16cid:durableId="988824084">
    <w:abstractNumId w:val="21"/>
  </w:num>
  <w:num w:numId="39" w16cid:durableId="1615362665">
    <w:abstractNumId w:val="29"/>
  </w:num>
  <w:num w:numId="40" w16cid:durableId="2038237250">
    <w:abstractNumId w:val="6"/>
  </w:num>
  <w:num w:numId="41" w16cid:durableId="446588634">
    <w:abstractNumId w:val="25"/>
  </w:num>
  <w:num w:numId="42" w16cid:durableId="51927843">
    <w:abstractNumId w:val="28"/>
  </w:num>
  <w:num w:numId="43" w16cid:durableId="975649044">
    <w:abstractNumId w:val="8"/>
  </w:num>
  <w:num w:numId="44" w16cid:durableId="1454666369">
    <w:abstractNumId w:val="5"/>
  </w:num>
  <w:num w:numId="45" w16cid:durableId="13908814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278"/>
    <w:rsid w:val="000013F6"/>
    <w:rsid w:val="0000165C"/>
    <w:rsid w:val="0000167B"/>
    <w:rsid w:val="000019FB"/>
    <w:rsid w:val="00001B7A"/>
    <w:rsid w:val="00001ED4"/>
    <w:rsid w:val="00002881"/>
    <w:rsid w:val="000032AE"/>
    <w:rsid w:val="000038B1"/>
    <w:rsid w:val="00003BA5"/>
    <w:rsid w:val="000045FB"/>
    <w:rsid w:val="00004DCF"/>
    <w:rsid w:val="00004F16"/>
    <w:rsid w:val="00005674"/>
    <w:rsid w:val="00005925"/>
    <w:rsid w:val="00005EB8"/>
    <w:rsid w:val="00006172"/>
    <w:rsid w:val="0000665E"/>
    <w:rsid w:val="000073D2"/>
    <w:rsid w:val="00007F68"/>
    <w:rsid w:val="000108BE"/>
    <w:rsid w:val="00010D58"/>
    <w:rsid w:val="000115A2"/>
    <w:rsid w:val="000121A8"/>
    <w:rsid w:val="00012781"/>
    <w:rsid w:val="00012ACD"/>
    <w:rsid w:val="00012FB4"/>
    <w:rsid w:val="0001329E"/>
    <w:rsid w:val="000134F1"/>
    <w:rsid w:val="00013BEC"/>
    <w:rsid w:val="00013C44"/>
    <w:rsid w:val="00013ECF"/>
    <w:rsid w:val="00013FC9"/>
    <w:rsid w:val="00014246"/>
    <w:rsid w:val="0001429E"/>
    <w:rsid w:val="00014D0D"/>
    <w:rsid w:val="00014EAD"/>
    <w:rsid w:val="00014F25"/>
    <w:rsid w:val="00015107"/>
    <w:rsid w:val="00015370"/>
    <w:rsid w:val="00015674"/>
    <w:rsid w:val="00016805"/>
    <w:rsid w:val="00016CEF"/>
    <w:rsid w:val="00017427"/>
    <w:rsid w:val="00017D51"/>
    <w:rsid w:val="00017FF6"/>
    <w:rsid w:val="00020904"/>
    <w:rsid w:val="0002091B"/>
    <w:rsid w:val="00020D03"/>
    <w:rsid w:val="00020F69"/>
    <w:rsid w:val="000212B0"/>
    <w:rsid w:val="0002188F"/>
    <w:rsid w:val="00021FD5"/>
    <w:rsid w:val="00022F9D"/>
    <w:rsid w:val="00023745"/>
    <w:rsid w:val="000238F3"/>
    <w:rsid w:val="00023981"/>
    <w:rsid w:val="00023ADD"/>
    <w:rsid w:val="00023DC8"/>
    <w:rsid w:val="00024165"/>
    <w:rsid w:val="000245CA"/>
    <w:rsid w:val="00024BD6"/>
    <w:rsid w:val="00024BF7"/>
    <w:rsid w:val="00024DE4"/>
    <w:rsid w:val="00024FF6"/>
    <w:rsid w:val="00025456"/>
    <w:rsid w:val="00025B90"/>
    <w:rsid w:val="0002670B"/>
    <w:rsid w:val="000267E3"/>
    <w:rsid w:val="00026985"/>
    <w:rsid w:val="00027A8F"/>
    <w:rsid w:val="00027D48"/>
    <w:rsid w:val="000306FE"/>
    <w:rsid w:val="000309EC"/>
    <w:rsid w:val="00031937"/>
    <w:rsid w:val="00031A96"/>
    <w:rsid w:val="00032230"/>
    <w:rsid w:val="0003257D"/>
    <w:rsid w:val="000326D8"/>
    <w:rsid w:val="00032B26"/>
    <w:rsid w:val="00033312"/>
    <w:rsid w:val="0003343E"/>
    <w:rsid w:val="00033638"/>
    <w:rsid w:val="00033A52"/>
    <w:rsid w:val="00033B15"/>
    <w:rsid w:val="00033DB1"/>
    <w:rsid w:val="000347FD"/>
    <w:rsid w:val="00035952"/>
    <w:rsid w:val="00035C14"/>
    <w:rsid w:val="00035E51"/>
    <w:rsid w:val="00036843"/>
    <w:rsid w:val="000369C8"/>
    <w:rsid w:val="000410C1"/>
    <w:rsid w:val="0004120F"/>
    <w:rsid w:val="00041776"/>
    <w:rsid w:val="0004212A"/>
    <w:rsid w:val="00042669"/>
    <w:rsid w:val="00042AA3"/>
    <w:rsid w:val="00043B88"/>
    <w:rsid w:val="000441F1"/>
    <w:rsid w:val="000449B7"/>
    <w:rsid w:val="00044AF8"/>
    <w:rsid w:val="000453CA"/>
    <w:rsid w:val="00045570"/>
    <w:rsid w:val="00045861"/>
    <w:rsid w:val="00045CD6"/>
    <w:rsid w:val="00046004"/>
    <w:rsid w:val="00046060"/>
    <w:rsid w:val="00046E34"/>
    <w:rsid w:val="00046F9F"/>
    <w:rsid w:val="000476BB"/>
    <w:rsid w:val="000476F2"/>
    <w:rsid w:val="00047AF2"/>
    <w:rsid w:val="000500D6"/>
    <w:rsid w:val="00050721"/>
    <w:rsid w:val="00051734"/>
    <w:rsid w:val="00051879"/>
    <w:rsid w:val="00051BBF"/>
    <w:rsid w:val="0005215A"/>
    <w:rsid w:val="00053482"/>
    <w:rsid w:val="00053A65"/>
    <w:rsid w:val="00053AD6"/>
    <w:rsid w:val="00053DB7"/>
    <w:rsid w:val="00053F58"/>
    <w:rsid w:val="0005529E"/>
    <w:rsid w:val="00055614"/>
    <w:rsid w:val="00055925"/>
    <w:rsid w:val="00055D08"/>
    <w:rsid w:val="00055DD0"/>
    <w:rsid w:val="00056E8E"/>
    <w:rsid w:val="000572DF"/>
    <w:rsid w:val="00057827"/>
    <w:rsid w:val="00057B7D"/>
    <w:rsid w:val="00057EB8"/>
    <w:rsid w:val="000617F8"/>
    <w:rsid w:val="00061975"/>
    <w:rsid w:val="00061E2E"/>
    <w:rsid w:val="0006231C"/>
    <w:rsid w:val="00062CBA"/>
    <w:rsid w:val="00062E16"/>
    <w:rsid w:val="00062ED8"/>
    <w:rsid w:val="00063364"/>
    <w:rsid w:val="00063373"/>
    <w:rsid w:val="00063A1D"/>
    <w:rsid w:val="00063CB5"/>
    <w:rsid w:val="000642AF"/>
    <w:rsid w:val="0006477B"/>
    <w:rsid w:val="00064BA9"/>
    <w:rsid w:val="00064EA8"/>
    <w:rsid w:val="00065259"/>
    <w:rsid w:val="00065451"/>
    <w:rsid w:val="000655A9"/>
    <w:rsid w:val="00065991"/>
    <w:rsid w:val="00065C24"/>
    <w:rsid w:val="00066095"/>
    <w:rsid w:val="00066283"/>
    <w:rsid w:val="00066286"/>
    <w:rsid w:val="0006680E"/>
    <w:rsid w:val="00066CD1"/>
    <w:rsid w:val="00067459"/>
    <w:rsid w:val="00067741"/>
    <w:rsid w:val="000678AC"/>
    <w:rsid w:val="00067B4A"/>
    <w:rsid w:val="00070108"/>
    <w:rsid w:val="00070552"/>
    <w:rsid w:val="000705C1"/>
    <w:rsid w:val="000706ED"/>
    <w:rsid w:val="000707A3"/>
    <w:rsid w:val="00070899"/>
    <w:rsid w:val="00070A2D"/>
    <w:rsid w:val="00071109"/>
    <w:rsid w:val="00071810"/>
    <w:rsid w:val="00071B55"/>
    <w:rsid w:val="00071CAF"/>
    <w:rsid w:val="00071DD6"/>
    <w:rsid w:val="00072136"/>
    <w:rsid w:val="00072BAA"/>
    <w:rsid w:val="00072C8D"/>
    <w:rsid w:val="0007319D"/>
    <w:rsid w:val="00073457"/>
    <w:rsid w:val="000736AA"/>
    <w:rsid w:val="000737A4"/>
    <w:rsid w:val="000741A3"/>
    <w:rsid w:val="00074337"/>
    <w:rsid w:val="00074476"/>
    <w:rsid w:val="00074844"/>
    <w:rsid w:val="00074C38"/>
    <w:rsid w:val="00075216"/>
    <w:rsid w:val="000754D5"/>
    <w:rsid w:val="00076415"/>
    <w:rsid w:val="00076794"/>
    <w:rsid w:val="0007736A"/>
    <w:rsid w:val="00077425"/>
    <w:rsid w:val="0007767A"/>
    <w:rsid w:val="00080F11"/>
    <w:rsid w:val="00080F5E"/>
    <w:rsid w:val="00081A07"/>
    <w:rsid w:val="00082333"/>
    <w:rsid w:val="000823E4"/>
    <w:rsid w:val="0008278D"/>
    <w:rsid w:val="00082DFF"/>
    <w:rsid w:val="00082E65"/>
    <w:rsid w:val="00083239"/>
    <w:rsid w:val="0008334E"/>
    <w:rsid w:val="000836FF"/>
    <w:rsid w:val="0008380C"/>
    <w:rsid w:val="00083DEF"/>
    <w:rsid w:val="00083EE3"/>
    <w:rsid w:val="000846BE"/>
    <w:rsid w:val="00084748"/>
    <w:rsid w:val="000852BF"/>
    <w:rsid w:val="000853F6"/>
    <w:rsid w:val="000858E9"/>
    <w:rsid w:val="00085E1C"/>
    <w:rsid w:val="0008619F"/>
    <w:rsid w:val="000865AA"/>
    <w:rsid w:val="00086C6E"/>
    <w:rsid w:val="00087430"/>
    <w:rsid w:val="00087551"/>
    <w:rsid w:val="0008775B"/>
    <w:rsid w:val="00087EC1"/>
    <w:rsid w:val="00087EE1"/>
    <w:rsid w:val="00087EFB"/>
    <w:rsid w:val="00090202"/>
    <w:rsid w:val="00090AF4"/>
    <w:rsid w:val="00090C53"/>
    <w:rsid w:val="000918BC"/>
    <w:rsid w:val="00091942"/>
    <w:rsid w:val="00091A7F"/>
    <w:rsid w:val="00091E02"/>
    <w:rsid w:val="00092A19"/>
    <w:rsid w:val="00093371"/>
    <w:rsid w:val="00093A1B"/>
    <w:rsid w:val="00094050"/>
    <w:rsid w:val="000944FE"/>
    <w:rsid w:val="00094A23"/>
    <w:rsid w:val="00094E26"/>
    <w:rsid w:val="0009511C"/>
    <w:rsid w:val="00095331"/>
    <w:rsid w:val="000958AF"/>
    <w:rsid w:val="00096497"/>
    <w:rsid w:val="00096FA6"/>
    <w:rsid w:val="00097862"/>
    <w:rsid w:val="00097889"/>
    <w:rsid w:val="000A1AB2"/>
    <w:rsid w:val="000A1BF3"/>
    <w:rsid w:val="000A2C08"/>
    <w:rsid w:val="000A2D14"/>
    <w:rsid w:val="000A2D19"/>
    <w:rsid w:val="000A2D1D"/>
    <w:rsid w:val="000A424A"/>
    <w:rsid w:val="000A47FE"/>
    <w:rsid w:val="000A4A23"/>
    <w:rsid w:val="000A4AD2"/>
    <w:rsid w:val="000A5922"/>
    <w:rsid w:val="000A5B5B"/>
    <w:rsid w:val="000A5E16"/>
    <w:rsid w:val="000A5FC5"/>
    <w:rsid w:val="000A60A1"/>
    <w:rsid w:val="000A6C8D"/>
    <w:rsid w:val="000A74BA"/>
    <w:rsid w:val="000A7DD5"/>
    <w:rsid w:val="000A7E28"/>
    <w:rsid w:val="000B04CE"/>
    <w:rsid w:val="000B057B"/>
    <w:rsid w:val="000B072C"/>
    <w:rsid w:val="000B0FCB"/>
    <w:rsid w:val="000B12F0"/>
    <w:rsid w:val="000B1376"/>
    <w:rsid w:val="000B1C5F"/>
    <w:rsid w:val="000B1E68"/>
    <w:rsid w:val="000B20C3"/>
    <w:rsid w:val="000B2992"/>
    <w:rsid w:val="000B29FE"/>
    <w:rsid w:val="000B2E7A"/>
    <w:rsid w:val="000B346C"/>
    <w:rsid w:val="000B3E87"/>
    <w:rsid w:val="000B404E"/>
    <w:rsid w:val="000B4083"/>
    <w:rsid w:val="000B4154"/>
    <w:rsid w:val="000B46D9"/>
    <w:rsid w:val="000B4929"/>
    <w:rsid w:val="000B4A3D"/>
    <w:rsid w:val="000B5075"/>
    <w:rsid w:val="000B5A6C"/>
    <w:rsid w:val="000B5CD0"/>
    <w:rsid w:val="000B5E1C"/>
    <w:rsid w:val="000B6143"/>
    <w:rsid w:val="000B6B1B"/>
    <w:rsid w:val="000B6D0C"/>
    <w:rsid w:val="000B72EA"/>
    <w:rsid w:val="000B75A4"/>
    <w:rsid w:val="000B76E1"/>
    <w:rsid w:val="000B778D"/>
    <w:rsid w:val="000C0275"/>
    <w:rsid w:val="000C0470"/>
    <w:rsid w:val="000C070B"/>
    <w:rsid w:val="000C10D5"/>
    <w:rsid w:val="000C18E5"/>
    <w:rsid w:val="000C1B89"/>
    <w:rsid w:val="000C1CC5"/>
    <w:rsid w:val="000C1F8D"/>
    <w:rsid w:val="000C20CC"/>
    <w:rsid w:val="000C25EB"/>
    <w:rsid w:val="000C27C6"/>
    <w:rsid w:val="000C283B"/>
    <w:rsid w:val="000C3476"/>
    <w:rsid w:val="000C3496"/>
    <w:rsid w:val="000C3815"/>
    <w:rsid w:val="000C3E95"/>
    <w:rsid w:val="000C487F"/>
    <w:rsid w:val="000C4AD1"/>
    <w:rsid w:val="000C51BD"/>
    <w:rsid w:val="000C51D3"/>
    <w:rsid w:val="000C5320"/>
    <w:rsid w:val="000C54D3"/>
    <w:rsid w:val="000C5BA6"/>
    <w:rsid w:val="000C5BDD"/>
    <w:rsid w:val="000C662D"/>
    <w:rsid w:val="000C7076"/>
    <w:rsid w:val="000C71BD"/>
    <w:rsid w:val="000C795B"/>
    <w:rsid w:val="000C7961"/>
    <w:rsid w:val="000C7E9B"/>
    <w:rsid w:val="000D0188"/>
    <w:rsid w:val="000D1059"/>
    <w:rsid w:val="000D15A1"/>
    <w:rsid w:val="000D17AF"/>
    <w:rsid w:val="000D2677"/>
    <w:rsid w:val="000D2952"/>
    <w:rsid w:val="000D29F4"/>
    <w:rsid w:val="000D2CF4"/>
    <w:rsid w:val="000D2D05"/>
    <w:rsid w:val="000D2DE9"/>
    <w:rsid w:val="000D2DF6"/>
    <w:rsid w:val="000D2F4D"/>
    <w:rsid w:val="000D34A3"/>
    <w:rsid w:val="000D3566"/>
    <w:rsid w:val="000D365F"/>
    <w:rsid w:val="000D3F6A"/>
    <w:rsid w:val="000D4B4D"/>
    <w:rsid w:val="000D4B80"/>
    <w:rsid w:val="000D4BC3"/>
    <w:rsid w:val="000D4CB3"/>
    <w:rsid w:val="000D515B"/>
    <w:rsid w:val="000D57BA"/>
    <w:rsid w:val="000D58D6"/>
    <w:rsid w:val="000D5BE8"/>
    <w:rsid w:val="000D734F"/>
    <w:rsid w:val="000D7477"/>
    <w:rsid w:val="000D7805"/>
    <w:rsid w:val="000D7EEB"/>
    <w:rsid w:val="000E0059"/>
    <w:rsid w:val="000E055B"/>
    <w:rsid w:val="000E058F"/>
    <w:rsid w:val="000E08B2"/>
    <w:rsid w:val="000E0D12"/>
    <w:rsid w:val="000E0DAA"/>
    <w:rsid w:val="000E0E1E"/>
    <w:rsid w:val="000E0EB5"/>
    <w:rsid w:val="000E0F3C"/>
    <w:rsid w:val="000E1495"/>
    <w:rsid w:val="000E193E"/>
    <w:rsid w:val="000E3036"/>
    <w:rsid w:val="000E3B60"/>
    <w:rsid w:val="000E3BAE"/>
    <w:rsid w:val="000E3E7A"/>
    <w:rsid w:val="000E4641"/>
    <w:rsid w:val="000E488C"/>
    <w:rsid w:val="000E4E2E"/>
    <w:rsid w:val="000E51BC"/>
    <w:rsid w:val="000E56E2"/>
    <w:rsid w:val="000E5739"/>
    <w:rsid w:val="000E5997"/>
    <w:rsid w:val="000E5A40"/>
    <w:rsid w:val="000E5B2A"/>
    <w:rsid w:val="000E5CCD"/>
    <w:rsid w:val="000E5D0D"/>
    <w:rsid w:val="000E60F8"/>
    <w:rsid w:val="000E6989"/>
    <w:rsid w:val="000E7209"/>
    <w:rsid w:val="000E7387"/>
    <w:rsid w:val="000E79A8"/>
    <w:rsid w:val="000E7AE8"/>
    <w:rsid w:val="000F049B"/>
    <w:rsid w:val="000F058D"/>
    <w:rsid w:val="000F0DA3"/>
    <w:rsid w:val="000F1214"/>
    <w:rsid w:val="000F19C1"/>
    <w:rsid w:val="000F2939"/>
    <w:rsid w:val="000F2D5F"/>
    <w:rsid w:val="000F3450"/>
    <w:rsid w:val="000F3942"/>
    <w:rsid w:val="000F3AC7"/>
    <w:rsid w:val="000F41CA"/>
    <w:rsid w:val="000F4380"/>
    <w:rsid w:val="000F45C8"/>
    <w:rsid w:val="000F462B"/>
    <w:rsid w:val="000F4B0C"/>
    <w:rsid w:val="000F4F51"/>
    <w:rsid w:val="000F5067"/>
    <w:rsid w:val="000F53ED"/>
    <w:rsid w:val="000F55E5"/>
    <w:rsid w:val="000F62DA"/>
    <w:rsid w:val="000F7C74"/>
    <w:rsid w:val="001009C9"/>
    <w:rsid w:val="00100D98"/>
    <w:rsid w:val="00100FAB"/>
    <w:rsid w:val="001012BA"/>
    <w:rsid w:val="001016EC"/>
    <w:rsid w:val="00101781"/>
    <w:rsid w:val="00101A90"/>
    <w:rsid w:val="00101FE5"/>
    <w:rsid w:val="0010220A"/>
    <w:rsid w:val="00102276"/>
    <w:rsid w:val="001023B3"/>
    <w:rsid w:val="001030E8"/>
    <w:rsid w:val="00103354"/>
    <w:rsid w:val="00103E94"/>
    <w:rsid w:val="00103FCC"/>
    <w:rsid w:val="001043AB"/>
    <w:rsid w:val="001057E4"/>
    <w:rsid w:val="00105C3B"/>
    <w:rsid w:val="00105CC5"/>
    <w:rsid w:val="00105EBF"/>
    <w:rsid w:val="00105FFE"/>
    <w:rsid w:val="001068D2"/>
    <w:rsid w:val="0010690C"/>
    <w:rsid w:val="00106959"/>
    <w:rsid w:val="001069AF"/>
    <w:rsid w:val="00106B8A"/>
    <w:rsid w:val="00106E19"/>
    <w:rsid w:val="00106EF4"/>
    <w:rsid w:val="0010734F"/>
    <w:rsid w:val="00107432"/>
    <w:rsid w:val="00107A66"/>
    <w:rsid w:val="00107D8A"/>
    <w:rsid w:val="001100B3"/>
    <w:rsid w:val="00110318"/>
    <w:rsid w:val="001107CB"/>
    <w:rsid w:val="001108D7"/>
    <w:rsid w:val="001111A3"/>
    <w:rsid w:val="00111626"/>
    <w:rsid w:val="00111D58"/>
    <w:rsid w:val="00112008"/>
    <w:rsid w:val="00112A52"/>
    <w:rsid w:val="00112EB2"/>
    <w:rsid w:val="00113A1E"/>
    <w:rsid w:val="00113D53"/>
    <w:rsid w:val="00114083"/>
    <w:rsid w:val="0011428C"/>
    <w:rsid w:val="0011429F"/>
    <w:rsid w:val="001142BF"/>
    <w:rsid w:val="001144CE"/>
    <w:rsid w:val="00114548"/>
    <w:rsid w:val="00114555"/>
    <w:rsid w:val="001147A1"/>
    <w:rsid w:val="00115772"/>
    <w:rsid w:val="00115AE0"/>
    <w:rsid w:val="00116127"/>
    <w:rsid w:val="00116A12"/>
    <w:rsid w:val="00117AC8"/>
    <w:rsid w:val="00117DB5"/>
    <w:rsid w:val="001209E8"/>
    <w:rsid w:val="00120BFC"/>
    <w:rsid w:val="00120FEC"/>
    <w:rsid w:val="00121349"/>
    <w:rsid w:val="001214B6"/>
    <w:rsid w:val="00121649"/>
    <w:rsid w:val="00121A26"/>
    <w:rsid w:val="00121E60"/>
    <w:rsid w:val="0012258B"/>
    <w:rsid w:val="00122981"/>
    <w:rsid w:val="00122F2F"/>
    <w:rsid w:val="00122FDE"/>
    <w:rsid w:val="0012357F"/>
    <w:rsid w:val="00123CB6"/>
    <w:rsid w:val="00125827"/>
    <w:rsid w:val="0012656D"/>
    <w:rsid w:val="00126E0E"/>
    <w:rsid w:val="00126FD5"/>
    <w:rsid w:val="001273C0"/>
    <w:rsid w:val="00127460"/>
    <w:rsid w:val="0012763E"/>
    <w:rsid w:val="001276C3"/>
    <w:rsid w:val="0012782F"/>
    <w:rsid w:val="0012783A"/>
    <w:rsid w:val="00127FBD"/>
    <w:rsid w:val="00130BCE"/>
    <w:rsid w:val="001313C1"/>
    <w:rsid w:val="00131669"/>
    <w:rsid w:val="001318FD"/>
    <w:rsid w:val="00131ABF"/>
    <w:rsid w:val="00131D6C"/>
    <w:rsid w:val="00131D79"/>
    <w:rsid w:val="001323BD"/>
    <w:rsid w:val="00132DC4"/>
    <w:rsid w:val="00133083"/>
    <w:rsid w:val="0013422C"/>
    <w:rsid w:val="00134770"/>
    <w:rsid w:val="0013499D"/>
    <w:rsid w:val="00135143"/>
    <w:rsid w:val="00135308"/>
    <w:rsid w:val="001359D4"/>
    <w:rsid w:val="00135FB7"/>
    <w:rsid w:val="0013608E"/>
    <w:rsid w:val="00136243"/>
    <w:rsid w:val="00136F6F"/>
    <w:rsid w:val="001375AC"/>
    <w:rsid w:val="001401B1"/>
    <w:rsid w:val="001408F3"/>
    <w:rsid w:val="00141216"/>
    <w:rsid w:val="0014145A"/>
    <w:rsid w:val="00141467"/>
    <w:rsid w:val="0014161C"/>
    <w:rsid w:val="00141CCF"/>
    <w:rsid w:val="00141D10"/>
    <w:rsid w:val="001427D5"/>
    <w:rsid w:val="00143321"/>
    <w:rsid w:val="00143517"/>
    <w:rsid w:val="00143578"/>
    <w:rsid w:val="001440DB"/>
    <w:rsid w:val="00144147"/>
    <w:rsid w:val="00144962"/>
    <w:rsid w:val="00144D8F"/>
    <w:rsid w:val="00145AE6"/>
    <w:rsid w:val="0014637C"/>
    <w:rsid w:val="00146B11"/>
    <w:rsid w:val="00146C6D"/>
    <w:rsid w:val="00146E1A"/>
    <w:rsid w:val="001470BF"/>
    <w:rsid w:val="0014747D"/>
    <w:rsid w:val="001479E4"/>
    <w:rsid w:val="00147A6B"/>
    <w:rsid w:val="00147BFA"/>
    <w:rsid w:val="00147D82"/>
    <w:rsid w:val="00147F55"/>
    <w:rsid w:val="001500AB"/>
    <w:rsid w:val="001504EE"/>
    <w:rsid w:val="00150748"/>
    <w:rsid w:val="00151A60"/>
    <w:rsid w:val="0015220B"/>
    <w:rsid w:val="00152237"/>
    <w:rsid w:val="0015275F"/>
    <w:rsid w:val="00152BD7"/>
    <w:rsid w:val="00152BDF"/>
    <w:rsid w:val="00153096"/>
    <w:rsid w:val="00153921"/>
    <w:rsid w:val="00153B8C"/>
    <w:rsid w:val="00153D01"/>
    <w:rsid w:val="00154995"/>
    <w:rsid w:val="00154AFD"/>
    <w:rsid w:val="0015532C"/>
    <w:rsid w:val="001559F9"/>
    <w:rsid w:val="00155DDA"/>
    <w:rsid w:val="001560C9"/>
    <w:rsid w:val="001565F1"/>
    <w:rsid w:val="001574E6"/>
    <w:rsid w:val="00157E39"/>
    <w:rsid w:val="0016015D"/>
    <w:rsid w:val="001604DC"/>
    <w:rsid w:val="001604E9"/>
    <w:rsid w:val="001605C0"/>
    <w:rsid w:val="00160BA5"/>
    <w:rsid w:val="001610AF"/>
    <w:rsid w:val="0016130F"/>
    <w:rsid w:val="001613DC"/>
    <w:rsid w:val="001614F2"/>
    <w:rsid w:val="00161C57"/>
    <w:rsid w:val="001623FA"/>
    <w:rsid w:val="0016259E"/>
    <w:rsid w:val="001628C8"/>
    <w:rsid w:val="00162970"/>
    <w:rsid w:val="0016346E"/>
    <w:rsid w:val="00163B12"/>
    <w:rsid w:val="00163DED"/>
    <w:rsid w:val="0016414B"/>
    <w:rsid w:val="00164250"/>
    <w:rsid w:val="00164331"/>
    <w:rsid w:val="001650AC"/>
    <w:rsid w:val="0016510F"/>
    <w:rsid w:val="00165B33"/>
    <w:rsid w:val="00165BF3"/>
    <w:rsid w:val="00165C20"/>
    <w:rsid w:val="00166CE0"/>
    <w:rsid w:val="00166E43"/>
    <w:rsid w:val="00166FAB"/>
    <w:rsid w:val="001672FB"/>
    <w:rsid w:val="001674F6"/>
    <w:rsid w:val="00167B5B"/>
    <w:rsid w:val="00167C01"/>
    <w:rsid w:val="001701AC"/>
    <w:rsid w:val="001703DF"/>
    <w:rsid w:val="0017086E"/>
    <w:rsid w:val="001708EB"/>
    <w:rsid w:val="00170F9B"/>
    <w:rsid w:val="001718B6"/>
    <w:rsid w:val="001728DE"/>
    <w:rsid w:val="00173552"/>
    <w:rsid w:val="00173633"/>
    <w:rsid w:val="00173790"/>
    <w:rsid w:val="00173979"/>
    <w:rsid w:val="00174404"/>
    <w:rsid w:val="00174CC9"/>
    <w:rsid w:val="00174F98"/>
    <w:rsid w:val="00175199"/>
    <w:rsid w:val="0017533D"/>
    <w:rsid w:val="001756B6"/>
    <w:rsid w:val="00175DBD"/>
    <w:rsid w:val="001765BE"/>
    <w:rsid w:val="00176A38"/>
    <w:rsid w:val="00177A7B"/>
    <w:rsid w:val="00180370"/>
    <w:rsid w:val="00180579"/>
    <w:rsid w:val="0018117D"/>
    <w:rsid w:val="00181854"/>
    <w:rsid w:val="00181AAA"/>
    <w:rsid w:val="00181AC7"/>
    <w:rsid w:val="00181E8C"/>
    <w:rsid w:val="001822D3"/>
    <w:rsid w:val="00182971"/>
    <w:rsid w:val="00182B79"/>
    <w:rsid w:val="00182E81"/>
    <w:rsid w:val="001832CB"/>
    <w:rsid w:val="001838CB"/>
    <w:rsid w:val="00183B3E"/>
    <w:rsid w:val="00183D01"/>
    <w:rsid w:val="00183EC1"/>
    <w:rsid w:val="00183EF6"/>
    <w:rsid w:val="00184554"/>
    <w:rsid w:val="001846A0"/>
    <w:rsid w:val="00184930"/>
    <w:rsid w:val="00185191"/>
    <w:rsid w:val="001864AB"/>
    <w:rsid w:val="00186ACF"/>
    <w:rsid w:val="00186F1E"/>
    <w:rsid w:val="00190258"/>
    <w:rsid w:val="001906F4"/>
    <w:rsid w:val="00190C51"/>
    <w:rsid w:val="00190FE8"/>
    <w:rsid w:val="00191BA7"/>
    <w:rsid w:val="0019223F"/>
    <w:rsid w:val="00192264"/>
    <w:rsid w:val="001927C6"/>
    <w:rsid w:val="001932CF"/>
    <w:rsid w:val="00193413"/>
    <w:rsid w:val="00193495"/>
    <w:rsid w:val="00193510"/>
    <w:rsid w:val="00193923"/>
    <w:rsid w:val="00193B3F"/>
    <w:rsid w:val="00193F01"/>
    <w:rsid w:val="00195129"/>
    <w:rsid w:val="00196244"/>
    <w:rsid w:val="00196269"/>
    <w:rsid w:val="00196296"/>
    <w:rsid w:val="001965C3"/>
    <w:rsid w:val="0019663D"/>
    <w:rsid w:val="00196B0B"/>
    <w:rsid w:val="00197385"/>
    <w:rsid w:val="00197631"/>
    <w:rsid w:val="001979A1"/>
    <w:rsid w:val="00197C75"/>
    <w:rsid w:val="001A0005"/>
    <w:rsid w:val="001A00C9"/>
    <w:rsid w:val="001A022D"/>
    <w:rsid w:val="001A06FB"/>
    <w:rsid w:val="001A16C4"/>
    <w:rsid w:val="001A1804"/>
    <w:rsid w:val="001A1C67"/>
    <w:rsid w:val="001A1D21"/>
    <w:rsid w:val="001A1E5E"/>
    <w:rsid w:val="001A20FB"/>
    <w:rsid w:val="001A2E9A"/>
    <w:rsid w:val="001A2EF4"/>
    <w:rsid w:val="001A30CA"/>
    <w:rsid w:val="001A3807"/>
    <w:rsid w:val="001A3DAA"/>
    <w:rsid w:val="001A4726"/>
    <w:rsid w:val="001A47B1"/>
    <w:rsid w:val="001A4D7B"/>
    <w:rsid w:val="001A5253"/>
    <w:rsid w:val="001A5694"/>
    <w:rsid w:val="001A6717"/>
    <w:rsid w:val="001A683F"/>
    <w:rsid w:val="001A6FDA"/>
    <w:rsid w:val="001A708A"/>
    <w:rsid w:val="001A70BA"/>
    <w:rsid w:val="001A7138"/>
    <w:rsid w:val="001A7605"/>
    <w:rsid w:val="001A76BF"/>
    <w:rsid w:val="001A7B54"/>
    <w:rsid w:val="001A7B66"/>
    <w:rsid w:val="001B0B04"/>
    <w:rsid w:val="001B0E2C"/>
    <w:rsid w:val="001B1571"/>
    <w:rsid w:val="001B1821"/>
    <w:rsid w:val="001B1E40"/>
    <w:rsid w:val="001B21B7"/>
    <w:rsid w:val="001B285E"/>
    <w:rsid w:val="001B2897"/>
    <w:rsid w:val="001B2958"/>
    <w:rsid w:val="001B29CF"/>
    <w:rsid w:val="001B2B19"/>
    <w:rsid w:val="001B2CE4"/>
    <w:rsid w:val="001B2E72"/>
    <w:rsid w:val="001B3A8F"/>
    <w:rsid w:val="001B3C43"/>
    <w:rsid w:val="001B3FE3"/>
    <w:rsid w:val="001B423D"/>
    <w:rsid w:val="001B4D15"/>
    <w:rsid w:val="001B55B2"/>
    <w:rsid w:val="001B61DF"/>
    <w:rsid w:val="001B631F"/>
    <w:rsid w:val="001B65C3"/>
    <w:rsid w:val="001B6A91"/>
    <w:rsid w:val="001B6D43"/>
    <w:rsid w:val="001B71EE"/>
    <w:rsid w:val="001B7969"/>
    <w:rsid w:val="001B7BC8"/>
    <w:rsid w:val="001C0194"/>
    <w:rsid w:val="001C0332"/>
    <w:rsid w:val="001C0450"/>
    <w:rsid w:val="001C0F2D"/>
    <w:rsid w:val="001C0FBC"/>
    <w:rsid w:val="001C19CB"/>
    <w:rsid w:val="001C1B0B"/>
    <w:rsid w:val="001C1F0C"/>
    <w:rsid w:val="001C29A0"/>
    <w:rsid w:val="001C2DA4"/>
    <w:rsid w:val="001C2E49"/>
    <w:rsid w:val="001C336B"/>
    <w:rsid w:val="001C34B5"/>
    <w:rsid w:val="001C353B"/>
    <w:rsid w:val="001C3932"/>
    <w:rsid w:val="001C3AE9"/>
    <w:rsid w:val="001C3C74"/>
    <w:rsid w:val="001C3CED"/>
    <w:rsid w:val="001C3E21"/>
    <w:rsid w:val="001C41AB"/>
    <w:rsid w:val="001C4E87"/>
    <w:rsid w:val="001C508F"/>
    <w:rsid w:val="001C5217"/>
    <w:rsid w:val="001C54EC"/>
    <w:rsid w:val="001C55F6"/>
    <w:rsid w:val="001C5F1C"/>
    <w:rsid w:val="001C6301"/>
    <w:rsid w:val="001C677D"/>
    <w:rsid w:val="001C7576"/>
    <w:rsid w:val="001C76CC"/>
    <w:rsid w:val="001C788D"/>
    <w:rsid w:val="001D0130"/>
    <w:rsid w:val="001D016C"/>
    <w:rsid w:val="001D10C0"/>
    <w:rsid w:val="001D1179"/>
    <w:rsid w:val="001D17CB"/>
    <w:rsid w:val="001D1A94"/>
    <w:rsid w:val="001D1C90"/>
    <w:rsid w:val="001D1C9B"/>
    <w:rsid w:val="001D1D27"/>
    <w:rsid w:val="001D2C47"/>
    <w:rsid w:val="001D2C62"/>
    <w:rsid w:val="001D37C1"/>
    <w:rsid w:val="001D41AC"/>
    <w:rsid w:val="001D47C7"/>
    <w:rsid w:val="001D4B18"/>
    <w:rsid w:val="001D54E4"/>
    <w:rsid w:val="001D6D16"/>
    <w:rsid w:val="001D708B"/>
    <w:rsid w:val="001D73AE"/>
    <w:rsid w:val="001D758E"/>
    <w:rsid w:val="001E06F3"/>
    <w:rsid w:val="001E0870"/>
    <w:rsid w:val="001E0EF9"/>
    <w:rsid w:val="001E130A"/>
    <w:rsid w:val="001E13D9"/>
    <w:rsid w:val="001E13DE"/>
    <w:rsid w:val="001E1AAB"/>
    <w:rsid w:val="001E1FE1"/>
    <w:rsid w:val="001E2C3C"/>
    <w:rsid w:val="001E3041"/>
    <w:rsid w:val="001E331B"/>
    <w:rsid w:val="001E390B"/>
    <w:rsid w:val="001E40E6"/>
    <w:rsid w:val="001E4277"/>
    <w:rsid w:val="001E4671"/>
    <w:rsid w:val="001E4C34"/>
    <w:rsid w:val="001E4D39"/>
    <w:rsid w:val="001E4E3D"/>
    <w:rsid w:val="001E5588"/>
    <w:rsid w:val="001E599B"/>
    <w:rsid w:val="001E5D28"/>
    <w:rsid w:val="001E62DA"/>
    <w:rsid w:val="001E7182"/>
    <w:rsid w:val="001E71BF"/>
    <w:rsid w:val="001E7E64"/>
    <w:rsid w:val="001F07B8"/>
    <w:rsid w:val="001F0FAB"/>
    <w:rsid w:val="001F135F"/>
    <w:rsid w:val="001F144F"/>
    <w:rsid w:val="001F1968"/>
    <w:rsid w:val="001F1AB6"/>
    <w:rsid w:val="001F1BB6"/>
    <w:rsid w:val="001F2354"/>
    <w:rsid w:val="001F25FC"/>
    <w:rsid w:val="001F2638"/>
    <w:rsid w:val="001F265E"/>
    <w:rsid w:val="001F2E5B"/>
    <w:rsid w:val="001F3125"/>
    <w:rsid w:val="001F3668"/>
    <w:rsid w:val="001F3B9A"/>
    <w:rsid w:val="001F3D1E"/>
    <w:rsid w:val="001F43AE"/>
    <w:rsid w:val="001F488D"/>
    <w:rsid w:val="001F4E44"/>
    <w:rsid w:val="001F5147"/>
    <w:rsid w:val="001F5A10"/>
    <w:rsid w:val="001F66A7"/>
    <w:rsid w:val="001F67A2"/>
    <w:rsid w:val="001F7025"/>
    <w:rsid w:val="001F7159"/>
    <w:rsid w:val="001F71DC"/>
    <w:rsid w:val="001F7309"/>
    <w:rsid w:val="001F742E"/>
    <w:rsid w:val="001F795A"/>
    <w:rsid w:val="00200036"/>
    <w:rsid w:val="00200099"/>
    <w:rsid w:val="0020052E"/>
    <w:rsid w:val="002005A3"/>
    <w:rsid w:val="002005AD"/>
    <w:rsid w:val="002006B9"/>
    <w:rsid w:val="002010C5"/>
    <w:rsid w:val="0020110D"/>
    <w:rsid w:val="00201159"/>
    <w:rsid w:val="0020176B"/>
    <w:rsid w:val="002018EA"/>
    <w:rsid w:val="00201941"/>
    <w:rsid w:val="0020195F"/>
    <w:rsid w:val="002019BE"/>
    <w:rsid w:val="002019FF"/>
    <w:rsid w:val="00201C51"/>
    <w:rsid w:val="00201CD8"/>
    <w:rsid w:val="0020227E"/>
    <w:rsid w:val="00203326"/>
    <w:rsid w:val="00203672"/>
    <w:rsid w:val="00203ADF"/>
    <w:rsid w:val="002043B3"/>
    <w:rsid w:val="00204580"/>
    <w:rsid w:val="002049C5"/>
    <w:rsid w:val="00205055"/>
    <w:rsid w:val="00205BCA"/>
    <w:rsid w:val="0020607F"/>
    <w:rsid w:val="00206722"/>
    <w:rsid w:val="00206BA3"/>
    <w:rsid w:val="00206DBE"/>
    <w:rsid w:val="0020712A"/>
    <w:rsid w:val="002072B5"/>
    <w:rsid w:val="00207811"/>
    <w:rsid w:val="00210490"/>
    <w:rsid w:val="00210821"/>
    <w:rsid w:val="00210ABD"/>
    <w:rsid w:val="00210CD5"/>
    <w:rsid w:val="00211AE8"/>
    <w:rsid w:val="0021268B"/>
    <w:rsid w:val="002131CF"/>
    <w:rsid w:val="002131FE"/>
    <w:rsid w:val="00213435"/>
    <w:rsid w:val="00213F42"/>
    <w:rsid w:val="0021423B"/>
    <w:rsid w:val="002147BD"/>
    <w:rsid w:val="00214947"/>
    <w:rsid w:val="00215937"/>
    <w:rsid w:val="002159F6"/>
    <w:rsid w:val="00216846"/>
    <w:rsid w:val="0021699A"/>
    <w:rsid w:val="00216CDE"/>
    <w:rsid w:val="00216D1A"/>
    <w:rsid w:val="00216E57"/>
    <w:rsid w:val="00216FC2"/>
    <w:rsid w:val="002171B6"/>
    <w:rsid w:val="0021724C"/>
    <w:rsid w:val="002174ED"/>
    <w:rsid w:val="00217A54"/>
    <w:rsid w:val="00217D1E"/>
    <w:rsid w:val="00220281"/>
    <w:rsid w:val="0022065E"/>
    <w:rsid w:val="00220900"/>
    <w:rsid w:val="002212A3"/>
    <w:rsid w:val="00222047"/>
    <w:rsid w:val="00222182"/>
    <w:rsid w:val="00222586"/>
    <w:rsid w:val="00222AA5"/>
    <w:rsid w:val="0022319A"/>
    <w:rsid w:val="002240B7"/>
    <w:rsid w:val="00224D47"/>
    <w:rsid w:val="00225339"/>
    <w:rsid w:val="0022594D"/>
    <w:rsid w:val="00225A9A"/>
    <w:rsid w:val="00225C31"/>
    <w:rsid w:val="002260FB"/>
    <w:rsid w:val="00227028"/>
    <w:rsid w:val="002272A3"/>
    <w:rsid w:val="002302B8"/>
    <w:rsid w:val="00230328"/>
    <w:rsid w:val="002303FC"/>
    <w:rsid w:val="0023095F"/>
    <w:rsid w:val="00230F64"/>
    <w:rsid w:val="00230F8E"/>
    <w:rsid w:val="002316AF"/>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37978"/>
    <w:rsid w:val="002400B8"/>
    <w:rsid w:val="00240382"/>
    <w:rsid w:val="00240BCF"/>
    <w:rsid w:val="002410AF"/>
    <w:rsid w:val="00241428"/>
    <w:rsid w:val="00241496"/>
    <w:rsid w:val="002415CC"/>
    <w:rsid w:val="00241721"/>
    <w:rsid w:val="00241AC2"/>
    <w:rsid w:val="00241DF5"/>
    <w:rsid w:val="00242D1F"/>
    <w:rsid w:val="00242F33"/>
    <w:rsid w:val="00243641"/>
    <w:rsid w:val="00243DA8"/>
    <w:rsid w:val="0024408C"/>
    <w:rsid w:val="002440D9"/>
    <w:rsid w:val="00244A1B"/>
    <w:rsid w:val="002451BB"/>
    <w:rsid w:val="002453DC"/>
    <w:rsid w:val="002455E0"/>
    <w:rsid w:val="002455E8"/>
    <w:rsid w:val="002457E2"/>
    <w:rsid w:val="00245D53"/>
    <w:rsid w:val="00245F2A"/>
    <w:rsid w:val="00246818"/>
    <w:rsid w:val="00246F23"/>
    <w:rsid w:val="002470D4"/>
    <w:rsid w:val="002471A8"/>
    <w:rsid w:val="00250228"/>
    <w:rsid w:val="002505AC"/>
    <w:rsid w:val="002509DF"/>
    <w:rsid w:val="00250EA9"/>
    <w:rsid w:val="00250FD6"/>
    <w:rsid w:val="0025123E"/>
    <w:rsid w:val="0025138D"/>
    <w:rsid w:val="0025146C"/>
    <w:rsid w:val="00251A72"/>
    <w:rsid w:val="00251F21"/>
    <w:rsid w:val="00252321"/>
    <w:rsid w:val="00252357"/>
    <w:rsid w:val="00252883"/>
    <w:rsid w:val="002528E3"/>
    <w:rsid w:val="00252AFC"/>
    <w:rsid w:val="00252B1C"/>
    <w:rsid w:val="00253322"/>
    <w:rsid w:val="00253436"/>
    <w:rsid w:val="00253456"/>
    <w:rsid w:val="00253C9B"/>
    <w:rsid w:val="00253CD8"/>
    <w:rsid w:val="0025508B"/>
    <w:rsid w:val="002551BA"/>
    <w:rsid w:val="00255FBE"/>
    <w:rsid w:val="002566E6"/>
    <w:rsid w:val="002569AC"/>
    <w:rsid w:val="002575D9"/>
    <w:rsid w:val="00260DF8"/>
    <w:rsid w:val="0026147D"/>
    <w:rsid w:val="00261640"/>
    <w:rsid w:val="00261B47"/>
    <w:rsid w:val="00261BEE"/>
    <w:rsid w:val="00261DEB"/>
    <w:rsid w:val="002628E1"/>
    <w:rsid w:val="00262E84"/>
    <w:rsid w:val="002630A4"/>
    <w:rsid w:val="002634CC"/>
    <w:rsid w:val="00263E10"/>
    <w:rsid w:val="00263E7C"/>
    <w:rsid w:val="00264074"/>
    <w:rsid w:val="002645AE"/>
    <w:rsid w:val="00264727"/>
    <w:rsid w:val="002647BF"/>
    <w:rsid w:val="00264A75"/>
    <w:rsid w:val="00264DDD"/>
    <w:rsid w:val="00264E6D"/>
    <w:rsid w:val="00266132"/>
    <w:rsid w:val="0026632E"/>
    <w:rsid w:val="002663D9"/>
    <w:rsid w:val="00266606"/>
    <w:rsid w:val="002666B9"/>
    <w:rsid w:val="00267193"/>
    <w:rsid w:val="00267786"/>
    <w:rsid w:val="00267974"/>
    <w:rsid w:val="0026799E"/>
    <w:rsid w:val="002700BC"/>
    <w:rsid w:val="002706F9"/>
    <w:rsid w:val="002710C2"/>
    <w:rsid w:val="00271377"/>
    <w:rsid w:val="00271558"/>
    <w:rsid w:val="00271ADE"/>
    <w:rsid w:val="00272ED5"/>
    <w:rsid w:val="00272F45"/>
    <w:rsid w:val="00273108"/>
    <w:rsid w:val="00273363"/>
    <w:rsid w:val="002736D5"/>
    <w:rsid w:val="0027445C"/>
    <w:rsid w:val="0027513B"/>
    <w:rsid w:val="00275731"/>
    <w:rsid w:val="00275794"/>
    <w:rsid w:val="00275E3C"/>
    <w:rsid w:val="002760BC"/>
    <w:rsid w:val="0027627E"/>
    <w:rsid w:val="00276BE8"/>
    <w:rsid w:val="00276CEB"/>
    <w:rsid w:val="0027790A"/>
    <w:rsid w:val="0028022D"/>
    <w:rsid w:val="002808AA"/>
    <w:rsid w:val="002809B2"/>
    <w:rsid w:val="002809E9"/>
    <w:rsid w:val="00280D80"/>
    <w:rsid w:val="002813A3"/>
    <w:rsid w:val="002813C1"/>
    <w:rsid w:val="002819CA"/>
    <w:rsid w:val="00281A49"/>
    <w:rsid w:val="0028215F"/>
    <w:rsid w:val="00282253"/>
    <w:rsid w:val="002824AC"/>
    <w:rsid w:val="0028273D"/>
    <w:rsid w:val="0028289F"/>
    <w:rsid w:val="00282A41"/>
    <w:rsid w:val="0028329E"/>
    <w:rsid w:val="0028395D"/>
    <w:rsid w:val="0028426F"/>
    <w:rsid w:val="00284EDF"/>
    <w:rsid w:val="00284EEB"/>
    <w:rsid w:val="0028513C"/>
    <w:rsid w:val="002851AE"/>
    <w:rsid w:val="00285D52"/>
    <w:rsid w:val="00286016"/>
    <w:rsid w:val="002860D8"/>
    <w:rsid w:val="002863BF"/>
    <w:rsid w:val="00286939"/>
    <w:rsid w:val="00286B2D"/>
    <w:rsid w:val="00286D97"/>
    <w:rsid w:val="0028717E"/>
    <w:rsid w:val="00287315"/>
    <w:rsid w:val="0028734C"/>
    <w:rsid w:val="002877F0"/>
    <w:rsid w:val="0029071C"/>
    <w:rsid w:val="0029099A"/>
    <w:rsid w:val="0029111B"/>
    <w:rsid w:val="00291993"/>
    <w:rsid w:val="00292383"/>
    <w:rsid w:val="00292BAC"/>
    <w:rsid w:val="00292CFB"/>
    <w:rsid w:val="00293196"/>
    <w:rsid w:val="002939FA"/>
    <w:rsid w:val="002948C9"/>
    <w:rsid w:val="00294990"/>
    <w:rsid w:val="00294A65"/>
    <w:rsid w:val="00294F15"/>
    <w:rsid w:val="00295600"/>
    <w:rsid w:val="002968B3"/>
    <w:rsid w:val="002968F0"/>
    <w:rsid w:val="00296DF9"/>
    <w:rsid w:val="00296E13"/>
    <w:rsid w:val="00296FB9"/>
    <w:rsid w:val="00297B84"/>
    <w:rsid w:val="00297EA1"/>
    <w:rsid w:val="002A01D5"/>
    <w:rsid w:val="002A052B"/>
    <w:rsid w:val="002A0610"/>
    <w:rsid w:val="002A06CC"/>
    <w:rsid w:val="002A0AB8"/>
    <w:rsid w:val="002A0E66"/>
    <w:rsid w:val="002A26FE"/>
    <w:rsid w:val="002A3AA8"/>
    <w:rsid w:val="002A4680"/>
    <w:rsid w:val="002A5BBD"/>
    <w:rsid w:val="002A60BD"/>
    <w:rsid w:val="002A6112"/>
    <w:rsid w:val="002A6968"/>
    <w:rsid w:val="002A6C69"/>
    <w:rsid w:val="002B07C9"/>
    <w:rsid w:val="002B0811"/>
    <w:rsid w:val="002B0AEE"/>
    <w:rsid w:val="002B209D"/>
    <w:rsid w:val="002B2273"/>
    <w:rsid w:val="002B2594"/>
    <w:rsid w:val="002B2A4F"/>
    <w:rsid w:val="002B2AFD"/>
    <w:rsid w:val="002B2B84"/>
    <w:rsid w:val="002B2D17"/>
    <w:rsid w:val="002B4EDF"/>
    <w:rsid w:val="002B4F4E"/>
    <w:rsid w:val="002B5BDD"/>
    <w:rsid w:val="002B5C31"/>
    <w:rsid w:val="002B5F1D"/>
    <w:rsid w:val="002B6246"/>
    <w:rsid w:val="002B6254"/>
    <w:rsid w:val="002B650E"/>
    <w:rsid w:val="002B69F7"/>
    <w:rsid w:val="002B6CF8"/>
    <w:rsid w:val="002B716A"/>
    <w:rsid w:val="002B75BA"/>
    <w:rsid w:val="002B762F"/>
    <w:rsid w:val="002B7857"/>
    <w:rsid w:val="002B7931"/>
    <w:rsid w:val="002B7AC2"/>
    <w:rsid w:val="002C0250"/>
    <w:rsid w:val="002C0AB6"/>
    <w:rsid w:val="002C0E86"/>
    <w:rsid w:val="002C0FC5"/>
    <w:rsid w:val="002C1DC7"/>
    <w:rsid w:val="002C2027"/>
    <w:rsid w:val="002C2A89"/>
    <w:rsid w:val="002C33C1"/>
    <w:rsid w:val="002C3498"/>
    <w:rsid w:val="002C354E"/>
    <w:rsid w:val="002C3671"/>
    <w:rsid w:val="002C3755"/>
    <w:rsid w:val="002C43F6"/>
    <w:rsid w:val="002C4AFB"/>
    <w:rsid w:val="002C53CC"/>
    <w:rsid w:val="002C54CB"/>
    <w:rsid w:val="002C5875"/>
    <w:rsid w:val="002C5A51"/>
    <w:rsid w:val="002C64A2"/>
    <w:rsid w:val="002C66E8"/>
    <w:rsid w:val="002C76BD"/>
    <w:rsid w:val="002C7FB8"/>
    <w:rsid w:val="002D02BD"/>
    <w:rsid w:val="002D03CF"/>
    <w:rsid w:val="002D05A5"/>
    <w:rsid w:val="002D0BE6"/>
    <w:rsid w:val="002D1182"/>
    <w:rsid w:val="002D1469"/>
    <w:rsid w:val="002D1632"/>
    <w:rsid w:val="002D1930"/>
    <w:rsid w:val="002D1DB8"/>
    <w:rsid w:val="002D1E9B"/>
    <w:rsid w:val="002D277A"/>
    <w:rsid w:val="002D32C9"/>
    <w:rsid w:val="002D3612"/>
    <w:rsid w:val="002D4191"/>
    <w:rsid w:val="002D4A52"/>
    <w:rsid w:val="002D4A5A"/>
    <w:rsid w:val="002D4AEA"/>
    <w:rsid w:val="002D5151"/>
    <w:rsid w:val="002D5DEA"/>
    <w:rsid w:val="002D5E21"/>
    <w:rsid w:val="002D655D"/>
    <w:rsid w:val="002D72BD"/>
    <w:rsid w:val="002D7A60"/>
    <w:rsid w:val="002D7AF6"/>
    <w:rsid w:val="002E0416"/>
    <w:rsid w:val="002E0465"/>
    <w:rsid w:val="002E057D"/>
    <w:rsid w:val="002E0A4A"/>
    <w:rsid w:val="002E1015"/>
    <w:rsid w:val="002E109C"/>
    <w:rsid w:val="002E1903"/>
    <w:rsid w:val="002E19AD"/>
    <w:rsid w:val="002E1E22"/>
    <w:rsid w:val="002E2176"/>
    <w:rsid w:val="002E2221"/>
    <w:rsid w:val="002E2298"/>
    <w:rsid w:val="002E2437"/>
    <w:rsid w:val="002E2464"/>
    <w:rsid w:val="002E30D7"/>
    <w:rsid w:val="002E350E"/>
    <w:rsid w:val="002E3916"/>
    <w:rsid w:val="002E3C2D"/>
    <w:rsid w:val="002E3F7A"/>
    <w:rsid w:val="002E4264"/>
    <w:rsid w:val="002E46A5"/>
    <w:rsid w:val="002E47AC"/>
    <w:rsid w:val="002E48EE"/>
    <w:rsid w:val="002E5775"/>
    <w:rsid w:val="002E5F7F"/>
    <w:rsid w:val="002E64F5"/>
    <w:rsid w:val="002E652B"/>
    <w:rsid w:val="002E7051"/>
    <w:rsid w:val="002E7729"/>
    <w:rsid w:val="002E7740"/>
    <w:rsid w:val="002E7C22"/>
    <w:rsid w:val="002F0480"/>
    <w:rsid w:val="002F07A8"/>
    <w:rsid w:val="002F1057"/>
    <w:rsid w:val="002F1822"/>
    <w:rsid w:val="002F1A09"/>
    <w:rsid w:val="002F2FB3"/>
    <w:rsid w:val="002F305C"/>
    <w:rsid w:val="002F347E"/>
    <w:rsid w:val="002F3C77"/>
    <w:rsid w:val="002F3D03"/>
    <w:rsid w:val="002F4C3B"/>
    <w:rsid w:val="002F4F4A"/>
    <w:rsid w:val="002F5792"/>
    <w:rsid w:val="002F618C"/>
    <w:rsid w:val="002F6611"/>
    <w:rsid w:val="002F681E"/>
    <w:rsid w:val="002F6936"/>
    <w:rsid w:val="002F6BD4"/>
    <w:rsid w:val="002F6E28"/>
    <w:rsid w:val="002F7F6F"/>
    <w:rsid w:val="003000C2"/>
    <w:rsid w:val="003001FC"/>
    <w:rsid w:val="003007BE"/>
    <w:rsid w:val="003009C9"/>
    <w:rsid w:val="00300A50"/>
    <w:rsid w:val="00300F2D"/>
    <w:rsid w:val="00301F9F"/>
    <w:rsid w:val="00302462"/>
    <w:rsid w:val="00302603"/>
    <w:rsid w:val="00302799"/>
    <w:rsid w:val="00302EF9"/>
    <w:rsid w:val="00303418"/>
    <w:rsid w:val="00303787"/>
    <w:rsid w:val="00303B1F"/>
    <w:rsid w:val="00304483"/>
    <w:rsid w:val="003044D2"/>
    <w:rsid w:val="00304996"/>
    <w:rsid w:val="00304B36"/>
    <w:rsid w:val="00304DA3"/>
    <w:rsid w:val="00305645"/>
    <w:rsid w:val="00305FA4"/>
    <w:rsid w:val="0030676A"/>
    <w:rsid w:val="00306802"/>
    <w:rsid w:val="00307581"/>
    <w:rsid w:val="0030772A"/>
    <w:rsid w:val="00307D21"/>
    <w:rsid w:val="00310612"/>
    <w:rsid w:val="0031062A"/>
    <w:rsid w:val="003109BC"/>
    <w:rsid w:val="00310F0E"/>
    <w:rsid w:val="00311363"/>
    <w:rsid w:val="0031152E"/>
    <w:rsid w:val="00311D47"/>
    <w:rsid w:val="00311ED5"/>
    <w:rsid w:val="00312188"/>
    <w:rsid w:val="00312323"/>
    <w:rsid w:val="00312585"/>
    <w:rsid w:val="003126A5"/>
    <w:rsid w:val="00313249"/>
    <w:rsid w:val="00313E10"/>
    <w:rsid w:val="00313EDC"/>
    <w:rsid w:val="00314383"/>
    <w:rsid w:val="003143B8"/>
    <w:rsid w:val="00314634"/>
    <w:rsid w:val="00314AB0"/>
    <w:rsid w:val="0031577B"/>
    <w:rsid w:val="003158EF"/>
    <w:rsid w:val="00316717"/>
    <w:rsid w:val="0031721F"/>
    <w:rsid w:val="00317A17"/>
    <w:rsid w:val="00320553"/>
    <w:rsid w:val="0032077E"/>
    <w:rsid w:val="00320840"/>
    <w:rsid w:val="00320DA0"/>
    <w:rsid w:val="0032156A"/>
    <w:rsid w:val="0032176C"/>
    <w:rsid w:val="00321B3B"/>
    <w:rsid w:val="0032216F"/>
    <w:rsid w:val="0032255F"/>
    <w:rsid w:val="003227AE"/>
    <w:rsid w:val="00322CC5"/>
    <w:rsid w:val="00323314"/>
    <w:rsid w:val="00323933"/>
    <w:rsid w:val="00323E4D"/>
    <w:rsid w:val="003241D8"/>
    <w:rsid w:val="00324705"/>
    <w:rsid w:val="00324F52"/>
    <w:rsid w:val="00324F54"/>
    <w:rsid w:val="0032588B"/>
    <w:rsid w:val="0032598F"/>
    <w:rsid w:val="00325C52"/>
    <w:rsid w:val="00325EC5"/>
    <w:rsid w:val="003261F5"/>
    <w:rsid w:val="00326351"/>
    <w:rsid w:val="00326E3A"/>
    <w:rsid w:val="00327EE2"/>
    <w:rsid w:val="00327FA6"/>
    <w:rsid w:val="00330C82"/>
    <w:rsid w:val="003311EF"/>
    <w:rsid w:val="0033184E"/>
    <w:rsid w:val="003319E8"/>
    <w:rsid w:val="00331A35"/>
    <w:rsid w:val="00331C19"/>
    <w:rsid w:val="00331C73"/>
    <w:rsid w:val="00332771"/>
    <w:rsid w:val="00332B04"/>
    <w:rsid w:val="00332E4E"/>
    <w:rsid w:val="00333574"/>
    <w:rsid w:val="00333809"/>
    <w:rsid w:val="00333816"/>
    <w:rsid w:val="003338F1"/>
    <w:rsid w:val="00333A07"/>
    <w:rsid w:val="00333F4D"/>
    <w:rsid w:val="003350CA"/>
    <w:rsid w:val="0033522F"/>
    <w:rsid w:val="003359FE"/>
    <w:rsid w:val="00335AE0"/>
    <w:rsid w:val="00335BDB"/>
    <w:rsid w:val="00336604"/>
    <w:rsid w:val="00336927"/>
    <w:rsid w:val="00336EDF"/>
    <w:rsid w:val="00337496"/>
    <w:rsid w:val="003375C1"/>
    <w:rsid w:val="0034043A"/>
    <w:rsid w:val="00340BFE"/>
    <w:rsid w:val="00340E13"/>
    <w:rsid w:val="00341058"/>
    <w:rsid w:val="00341B50"/>
    <w:rsid w:val="00342CC7"/>
    <w:rsid w:val="0034386E"/>
    <w:rsid w:val="00343934"/>
    <w:rsid w:val="00343A1D"/>
    <w:rsid w:val="00343A8A"/>
    <w:rsid w:val="00343F0F"/>
    <w:rsid w:val="00344278"/>
    <w:rsid w:val="003442AD"/>
    <w:rsid w:val="00344C7C"/>
    <w:rsid w:val="003455A3"/>
    <w:rsid w:val="003465C8"/>
    <w:rsid w:val="003466CC"/>
    <w:rsid w:val="00346705"/>
    <w:rsid w:val="00347243"/>
    <w:rsid w:val="00347377"/>
    <w:rsid w:val="0034753C"/>
    <w:rsid w:val="003500A5"/>
    <w:rsid w:val="00350667"/>
    <w:rsid w:val="0035070F"/>
    <w:rsid w:val="003512CC"/>
    <w:rsid w:val="00351EDC"/>
    <w:rsid w:val="00352045"/>
    <w:rsid w:val="00352071"/>
    <w:rsid w:val="00352C6C"/>
    <w:rsid w:val="00352D70"/>
    <w:rsid w:val="00353B7E"/>
    <w:rsid w:val="00353F26"/>
    <w:rsid w:val="003541D8"/>
    <w:rsid w:val="00354481"/>
    <w:rsid w:val="0035458C"/>
    <w:rsid w:val="00354782"/>
    <w:rsid w:val="003548CB"/>
    <w:rsid w:val="00355113"/>
    <w:rsid w:val="00355234"/>
    <w:rsid w:val="003554AC"/>
    <w:rsid w:val="00355C36"/>
    <w:rsid w:val="00356F7F"/>
    <w:rsid w:val="00357B90"/>
    <w:rsid w:val="00357F5B"/>
    <w:rsid w:val="003602DE"/>
    <w:rsid w:val="003605B6"/>
    <w:rsid w:val="00361010"/>
    <w:rsid w:val="003612E9"/>
    <w:rsid w:val="0036217B"/>
    <w:rsid w:val="00362350"/>
    <w:rsid w:val="00362357"/>
    <w:rsid w:val="00362475"/>
    <w:rsid w:val="003624FC"/>
    <w:rsid w:val="003634DA"/>
    <w:rsid w:val="0036359B"/>
    <w:rsid w:val="003635F0"/>
    <w:rsid w:val="00363B4C"/>
    <w:rsid w:val="00364296"/>
    <w:rsid w:val="00364844"/>
    <w:rsid w:val="00364B13"/>
    <w:rsid w:val="00364C17"/>
    <w:rsid w:val="0036526D"/>
    <w:rsid w:val="00365DDD"/>
    <w:rsid w:val="00365DF5"/>
    <w:rsid w:val="00366C94"/>
    <w:rsid w:val="00366E5D"/>
    <w:rsid w:val="00366F3F"/>
    <w:rsid w:val="00367005"/>
    <w:rsid w:val="00367118"/>
    <w:rsid w:val="003673A2"/>
    <w:rsid w:val="00370528"/>
    <w:rsid w:val="00370859"/>
    <w:rsid w:val="0037183F"/>
    <w:rsid w:val="00371944"/>
    <w:rsid w:val="00371AEC"/>
    <w:rsid w:val="0037237D"/>
    <w:rsid w:val="00372693"/>
    <w:rsid w:val="003733A3"/>
    <w:rsid w:val="003743AA"/>
    <w:rsid w:val="00374654"/>
    <w:rsid w:val="00374C59"/>
    <w:rsid w:val="00374E30"/>
    <w:rsid w:val="003754BA"/>
    <w:rsid w:val="00375624"/>
    <w:rsid w:val="0037584B"/>
    <w:rsid w:val="003759A1"/>
    <w:rsid w:val="00375BE9"/>
    <w:rsid w:val="00375D21"/>
    <w:rsid w:val="00375EF5"/>
    <w:rsid w:val="003761C4"/>
    <w:rsid w:val="003766BD"/>
    <w:rsid w:val="0037674D"/>
    <w:rsid w:val="00376852"/>
    <w:rsid w:val="00376E3F"/>
    <w:rsid w:val="00376EE6"/>
    <w:rsid w:val="00377705"/>
    <w:rsid w:val="00377A1F"/>
    <w:rsid w:val="0038019E"/>
    <w:rsid w:val="00380981"/>
    <w:rsid w:val="003813F7"/>
    <w:rsid w:val="00381684"/>
    <w:rsid w:val="003824AD"/>
    <w:rsid w:val="00382989"/>
    <w:rsid w:val="00382B21"/>
    <w:rsid w:val="00382B46"/>
    <w:rsid w:val="00382C9E"/>
    <w:rsid w:val="003830D3"/>
    <w:rsid w:val="003831D5"/>
    <w:rsid w:val="00383208"/>
    <w:rsid w:val="003838A1"/>
    <w:rsid w:val="00383E04"/>
    <w:rsid w:val="003851C7"/>
    <w:rsid w:val="00385368"/>
    <w:rsid w:val="0038658E"/>
    <w:rsid w:val="00386BFA"/>
    <w:rsid w:val="00386DDA"/>
    <w:rsid w:val="00387A2B"/>
    <w:rsid w:val="00390300"/>
    <w:rsid w:val="00390510"/>
    <w:rsid w:val="0039062D"/>
    <w:rsid w:val="00390BB4"/>
    <w:rsid w:val="003911A5"/>
    <w:rsid w:val="003920EF"/>
    <w:rsid w:val="00392346"/>
    <w:rsid w:val="003929E6"/>
    <w:rsid w:val="00392BBE"/>
    <w:rsid w:val="00393787"/>
    <w:rsid w:val="00393D7D"/>
    <w:rsid w:val="00393F94"/>
    <w:rsid w:val="00394899"/>
    <w:rsid w:val="0039545B"/>
    <w:rsid w:val="00395462"/>
    <w:rsid w:val="0039579C"/>
    <w:rsid w:val="00395898"/>
    <w:rsid w:val="00395AB7"/>
    <w:rsid w:val="00395C0B"/>
    <w:rsid w:val="0039614C"/>
    <w:rsid w:val="00396168"/>
    <w:rsid w:val="00396614"/>
    <w:rsid w:val="00396E32"/>
    <w:rsid w:val="00396F2A"/>
    <w:rsid w:val="00396FC2"/>
    <w:rsid w:val="00397206"/>
    <w:rsid w:val="00397230"/>
    <w:rsid w:val="00397A1D"/>
    <w:rsid w:val="00397CEC"/>
    <w:rsid w:val="00397F09"/>
    <w:rsid w:val="003A02BE"/>
    <w:rsid w:val="003A0357"/>
    <w:rsid w:val="003A08F6"/>
    <w:rsid w:val="003A140D"/>
    <w:rsid w:val="003A14EF"/>
    <w:rsid w:val="003A17BD"/>
    <w:rsid w:val="003A19AB"/>
    <w:rsid w:val="003A1DF7"/>
    <w:rsid w:val="003A2A84"/>
    <w:rsid w:val="003A2B85"/>
    <w:rsid w:val="003A2C48"/>
    <w:rsid w:val="003A3942"/>
    <w:rsid w:val="003A3AEC"/>
    <w:rsid w:val="003A41E2"/>
    <w:rsid w:val="003A467D"/>
    <w:rsid w:val="003A4763"/>
    <w:rsid w:val="003A57D6"/>
    <w:rsid w:val="003A5918"/>
    <w:rsid w:val="003A63A8"/>
    <w:rsid w:val="003A6C1D"/>
    <w:rsid w:val="003A75FE"/>
    <w:rsid w:val="003A78F3"/>
    <w:rsid w:val="003A7E35"/>
    <w:rsid w:val="003B0400"/>
    <w:rsid w:val="003B157E"/>
    <w:rsid w:val="003B20FE"/>
    <w:rsid w:val="003B2441"/>
    <w:rsid w:val="003B25FA"/>
    <w:rsid w:val="003B270F"/>
    <w:rsid w:val="003B2B5C"/>
    <w:rsid w:val="003B2F87"/>
    <w:rsid w:val="003B3287"/>
    <w:rsid w:val="003B3973"/>
    <w:rsid w:val="003B3BE5"/>
    <w:rsid w:val="003B4217"/>
    <w:rsid w:val="003B4D0B"/>
    <w:rsid w:val="003B53AC"/>
    <w:rsid w:val="003B560F"/>
    <w:rsid w:val="003B5FF2"/>
    <w:rsid w:val="003B6399"/>
    <w:rsid w:val="003B671B"/>
    <w:rsid w:val="003B729A"/>
    <w:rsid w:val="003B740C"/>
    <w:rsid w:val="003B79DC"/>
    <w:rsid w:val="003C0D6A"/>
    <w:rsid w:val="003C0D7B"/>
    <w:rsid w:val="003C0FB9"/>
    <w:rsid w:val="003C168C"/>
    <w:rsid w:val="003C209A"/>
    <w:rsid w:val="003C20E0"/>
    <w:rsid w:val="003C22A4"/>
    <w:rsid w:val="003C2DD3"/>
    <w:rsid w:val="003C303F"/>
    <w:rsid w:val="003C338B"/>
    <w:rsid w:val="003C37F1"/>
    <w:rsid w:val="003C3951"/>
    <w:rsid w:val="003C3E6F"/>
    <w:rsid w:val="003C4117"/>
    <w:rsid w:val="003C4571"/>
    <w:rsid w:val="003C468B"/>
    <w:rsid w:val="003C4D70"/>
    <w:rsid w:val="003C51D3"/>
    <w:rsid w:val="003C5975"/>
    <w:rsid w:val="003C5B61"/>
    <w:rsid w:val="003C62F4"/>
    <w:rsid w:val="003C64FF"/>
    <w:rsid w:val="003C6C1F"/>
    <w:rsid w:val="003C6CB9"/>
    <w:rsid w:val="003C73FF"/>
    <w:rsid w:val="003C773C"/>
    <w:rsid w:val="003C7A27"/>
    <w:rsid w:val="003D050C"/>
    <w:rsid w:val="003D0804"/>
    <w:rsid w:val="003D0F79"/>
    <w:rsid w:val="003D0F82"/>
    <w:rsid w:val="003D0FCA"/>
    <w:rsid w:val="003D1490"/>
    <w:rsid w:val="003D155B"/>
    <w:rsid w:val="003D1930"/>
    <w:rsid w:val="003D1BE4"/>
    <w:rsid w:val="003D1F3C"/>
    <w:rsid w:val="003D234D"/>
    <w:rsid w:val="003D28F5"/>
    <w:rsid w:val="003D2ABD"/>
    <w:rsid w:val="003D2D1B"/>
    <w:rsid w:val="003D325F"/>
    <w:rsid w:val="003D3511"/>
    <w:rsid w:val="003D3E06"/>
    <w:rsid w:val="003D403A"/>
    <w:rsid w:val="003D413C"/>
    <w:rsid w:val="003D4319"/>
    <w:rsid w:val="003D4587"/>
    <w:rsid w:val="003D48A2"/>
    <w:rsid w:val="003D5A8D"/>
    <w:rsid w:val="003D5F76"/>
    <w:rsid w:val="003D65BF"/>
    <w:rsid w:val="003D6732"/>
    <w:rsid w:val="003D6D91"/>
    <w:rsid w:val="003D7250"/>
    <w:rsid w:val="003D76EE"/>
    <w:rsid w:val="003D7B4C"/>
    <w:rsid w:val="003E0381"/>
    <w:rsid w:val="003E0CA9"/>
    <w:rsid w:val="003E0E2C"/>
    <w:rsid w:val="003E164A"/>
    <w:rsid w:val="003E1A9F"/>
    <w:rsid w:val="003E1EE8"/>
    <w:rsid w:val="003E2AD9"/>
    <w:rsid w:val="003E2DB7"/>
    <w:rsid w:val="003E3101"/>
    <w:rsid w:val="003E32DE"/>
    <w:rsid w:val="003E3472"/>
    <w:rsid w:val="003E3E25"/>
    <w:rsid w:val="003E476E"/>
    <w:rsid w:val="003E4789"/>
    <w:rsid w:val="003E49B2"/>
    <w:rsid w:val="003E4C9D"/>
    <w:rsid w:val="003E5859"/>
    <w:rsid w:val="003E65B3"/>
    <w:rsid w:val="003E676B"/>
    <w:rsid w:val="003E68AD"/>
    <w:rsid w:val="003E68AE"/>
    <w:rsid w:val="003E69D1"/>
    <w:rsid w:val="003E6A0B"/>
    <w:rsid w:val="003E788D"/>
    <w:rsid w:val="003E7939"/>
    <w:rsid w:val="003F0A79"/>
    <w:rsid w:val="003F1084"/>
    <w:rsid w:val="003F1414"/>
    <w:rsid w:val="003F1653"/>
    <w:rsid w:val="003F2171"/>
    <w:rsid w:val="003F23E7"/>
    <w:rsid w:val="003F27C8"/>
    <w:rsid w:val="003F28D0"/>
    <w:rsid w:val="003F2ABD"/>
    <w:rsid w:val="003F33E4"/>
    <w:rsid w:val="003F35BF"/>
    <w:rsid w:val="003F400E"/>
    <w:rsid w:val="003F40EE"/>
    <w:rsid w:val="003F4638"/>
    <w:rsid w:val="003F46D5"/>
    <w:rsid w:val="003F5196"/>
    <w:rsid w:val="003F57B2"/>
    <w:rsid w:val="003F5841"/>
    <w:rsid w:val="003F5885"/>
    <w:rsid w:val="003F58C5"/>
    <w:rsid w:val="003F5B5D"/>
    <w:rsid w:val="003F5C24"/>
    <w:rsid w:val="003F66D7"/>
    <w:rsid w:val="003F6C74"/>
    <w:rsid w:val="004007E5"/>
    <w:rsid w:val="0040274D"/>
    <w:rsid w:val="0040363B"/>
    <w:rsid w:val="0040414E"/>
    <w:rsid w:val="004045E7"/>
    <w:rsid w:val="00404BAB"/>
    <w:rsid w:val="00404F5A"/>
    <w:rsid w:val="004052A0"/>
    <w:rsid w:val="004056FD"/>
    <w:rsid w:val="00405C8E"/>
    <w:rsid w:val="00406104"/>
    <w:rsid w:val="0040617B"/>
    <w:rsid w:val="00406A74"/>
    <w:rsid w:val="0040700A"/>
    <w:rsid w:val="004075D9"/>
    <w:rsid w:val="00407755"/>
    <w:rsid w:val="004077AD"/>
    <w:rsid w:val="00407A1A"/>
    <w:rsid w:val="0041001E"/>
    <w:rsid w:val="00410667"/>
    <w:rsid w:val="004108BE"/>
    <w:rsid w:val="00410A50"/>
    <w:rsid w:val="00410DF4"/>
    <w:rsid w:val="00410F6A"/>
    <w:rsid w:val="004120BB"/>
    <w:rsid w:val="004124EB"/>
    <w:rsid w:val="0041280E"/>
    <w:rsid w:val="0041288C"/>
    <w:rsid w:val="004133BB"/>
    <w:rsid w:val="00413B57"/>
    <w:rsid w:val="00414C97"/>
    <w:rsid w:val="004154AF"/>
    <w:rsid w:val="004157B9"/>
    <w:rsid w:val="00415CAA"/>
    <w:rsid w:val="00416235"/>
    <w:rsid w:val="004162C4"/>
    <w:rsid w:val="0041677B"/>
    <w:rsid w:val="00416C7D"/>
    <w:rsid w:val="00416DC0"/>
    <w:rsid w:val="00417111"/>
    <w:rsid w:val="00417996"/>
    <w:rsid w:val="00417DA6"/>
    <w:rsid w:val="0042015D"/>
    <w:rsid w:val="00420177"/>
    <w:rsid w:val="00420A63"/>
    <w:rsid w:val="004211BD"/>
    <w:rsid w:val="00421AD9"/>
    <w:rsid w:val="0042275D"/>
    <w:rsid w:val="00422853"/>
    <w:rsid w:val="00422DD8"/>
    <w:rsid w:val="004234D4"/>
    <w:rsid w:val="00424BD7"/>
    <w:rsid w:val="00424DF0"/>
    <w:rsid w:val="0042558D"/>
    <w:rsid w:val="0042579B"/>
    <w:rsid w:val="00425C8B"/>
    <w:rsid w:val="00425F4B"/>
    <w:rsid w:val="00425F77"/>
    <w:rsid w:val="004273D9"/>
    <w:rsid w:val="00427475"/>
    <w:rsid w:val="004279D0"/>
    <w:rsid w:val="0043002D"/>
    <w:rsid w:val="00430577"/>
    <w:rsid w:val="00430964"/>
    <w:rsid w:val="00430BA3"/>
    <w:rsid w:val="0043129A"/>
    <w:rsid w:val="00431A01"/>
    <w:rsid w:val="00431B05"/>
    <w:rsid w:val="0043246F"/>
    <w:rsid w:val="0043288B"/>
    <w:rsid w:val="00432D8D"/>
    <w:rsid w:val="00432E87"/>
    <w:rsid w:val="00433001"/>
    <w:rsid w:val="00433182"/>
    <w:rsid w:val="00433722"/>
    <w:rsid w:val="00434E60"/>
    <w:rsid w:val="00435292"/>
    <w:rsid w:val="0043576E"/>
    <w:rsid w:val="00435F33"/>
    <w:rsid w:val="00436102"/>
    <w:rsid w:val="00436454"/>
    <w:rsid w:val="00436764"/>
    <w:rsid w:val="0043680B"/>
    <w:rsid w:val="00436F10"/>
    <w:rsid w:val="00436F48"/>
    <w:rsid w:val="004373C4"/>
    <w:rsid w:val="004373CD"/>
    <w:rsid w:val="00437623"/>
    <w:rsid w:val="00437689"/>
    <w:rsid w:val="00437CFD"/>
    <w:rsid w:val="00437FE6"/>
    <w:rsid w:val="0044019B"/>
    <w:rsid w:val="00440298"/>
    <w:rsid w:val="004408B9"/>
    <w:rsid w:val="004419E8"/>
    <w:rsid w:val="00441B77"/>
    <w:rsid w:val="00441BDC"/>
    <w:rsid w:val="00442A6C"/>
    <w:rsid w:val="00442D18"/>
    <w:rsid w:val="00442DAB"/>
    <w:rsid w:val="00443283"/>
    <w:rsid w:val="00443756"/>
    <w:rsid w:val="00443BD2"/>
    <w:rsid w:val="00443E20"/>
    <w:rsid w:val="00444039"/>
    <w:rsid w:val="00444411"/>
    <w:rsid w:val="00444437"/>
    <w:rsid w:val="004447FF"/>
    <w:rsid w:val="00444BDC"/>
    <w:rsid w:val="00445193"/>
    <w:rsid w:val="004451B4"/>
    <w:rsid w:val="00445208"/>
    <w:rsid w:val="004458B3"/>
    <w:rsid w:val="00446643"/>
    <w:rsid w:val="00446B88"/>
    <w:rsid w:val="00447330"/>
    <w:rsid w:val="00450CCE"/>
    <w:rsid w:val="00450EC8"/>
    <w:rsid w:val="00451681"/>
    <w:rsid w:val="00451AF6"/>
    <w:rsid w:val="004522D4"/>
    <w:rsid w:val="0045361E"/>
    <w:rsid w:val="0045367B"/>
    <w:rsid w:val="004537B4"/>
    <w:rsid w:val="00453A06"/>
    <w:rsid w:val="004544F8"/>
    <w:rsid w:val="00454793"/>
    <w:rsid w:val="0045490A"/>
    <w:rsid w:val="00454B88"/>
    <w:rsid w:val="00454D56"/>
    <w:rsid w:val="00454D9F"/>
    <w:rsid w:val="004550B7"/>
    <w:rsid w:val="004552FA"/>
    <w:rsid w:val="0045598B"/>
    <w:rsid w:val="00455AE9"/>
    <w:rsid w:val="00455B24"/>
    <w:rsid w:val="00455FE9"/>
    <w:rsid w:val="00456466"/>
    <w:rsid w:val="00456A81"/>
    <w:rsid w:val="00456AB1"/>
    <w:rsid w:val="00456C7B"/>
    <w:rsid w:val="00456E42"/>
    <w:rsid w:val="00457245"/>
    <w:rsid w:val="004577CB"/>
    <w:rsid w:val="00457B47"/>
    <w:rsid w:val="00457E5B"/>
    <w:rsid w:val="00457F7F"/>
    <w:rsid w:val="00460C05"/>
    <w:rsid w:val="00461431"/>
    <w:rsid w:val="00462865"/>
    <w:rsid w:val="0046297C"/>
    <w:rsid w:val="00462D58"/>
    <w:rsid w:val="00463382"/>
    <w:rsid w:val="00463E5D"/>
    <w:rsid w:val="00463F27"/>
    <w:rsid w:val="00464708"/>
    <w:rsid w:val="00464A19"/>
    <w:rsid w:val="00464AC9"/>
    <w:rsid w:val="00465656"/>
    <w:rsid w:val="00465802"/>
    <w:rsid w:val="00465C72"/>
    <w:rsid w:val="00465EC0"/>
    <w:rsid w:val="00465F3B"/>
    <w:rsid w:val="004666A5"/>
    <w:rsid w:val="00466884"/>
    <w:rsid w:val="00466F68"/>
    <w:rsid w:val="004671E6"/>
    <w:rsid w:val="00467B0A"/>
    <w:rsid w:val="004700A8"/>
    <w:rsid w:val="0047070E"/>
    <w:rsid w:val="00470A42"/>
    <w:rsid w:val="0047103C"/>
    <w:rsid w:val="00471E12"/>
    <w:rsid w:val="00472A7D"/>
    <w:rsid w:val="00472DED"/>
    <w:rsid w:val="00472FBF"/>
    <w:rsid w:val="00473867"/>
    <w:rsid w:val="004738CA"/>
    <w:rsid w:val="00473A39"/>
    <w:rsid w:val="00473B57"/>
    <w:rsid w:val="0047416D"/>
    <w:rsid w:val="004741F9"/>
    <w:rsid w:val="004744CE"/>
    <w:rsid w:val="004746BD"/>
    <w:rsid w:val="0047471E"/>
    <w:rsid w:val="00474A5E"/>
    <w:rsid w:val="00474CD6"/>
    <w:rsid w:val="00474EF6"/>
    <w:rsid w:val="004752CA"/>
    <w:rsid w:val="00475421"/>
    <w:rsid w:val="00475BC0"/>
    <w:rsid w:val="0047603C"/>
    <w:rsid w:val="00476B36"/>
    <w:rsid w:val="004777C0"/>
    <w:rsid w:val="0047789B"/>
    <w:rsid w:val="00477C22"/>
    <w:rsid w:val="00480624"/>
    <w:rsid w:val="00480A7B"/>
    <w:rsid w:val="00480B0B"/>
    <w:rsid w:val="004816B5"/>
    <w:rsid w:val="00481761"/>
    <w:rsid w:val="00481A30"/>
    <w:rsid w:val="00482768"/>
    <w:rsid w:val="00482A2A"/>
    <w:rsid w:val="00482B82"/>
    <w:rsid w:val="00482E8E"/>
    <w:rsid w:val="00482F3B"/>
    <w:rsid w:val="00482FEC"/>
    <w:rsid w:val="0048315E"/>
    <w:rsid w:val="00483449"/>
    <w:rsid w:val="004834DF"/>
    <w:rsid w:val="00483679"/>
    <w:rsid w:val="0048425C"/>
    <w:rsid w:val="0048450A"/>
    <w:rsid w:val="0048461D"/>
    <w:rsid w:val="00484A7A"/>
    <w:rsid w:val="00484C1E"/>
    <w:rsid w:val="00484F19"/>
    <w:rsid w:val="004859C2"/>
    <w:rsid w:val="004869FF"/>
    <w:rsid w:val="00486D2A"/>
    <w:rsid w:val="004872F3"/>
    <w:rsid w:val="00490038"/>
    <w:rsid w:val="004903E1"/>
    <w:rsid w:val="004909CD"/>
    <w:rsid w:val="004911A4"/>
    <w:rsid w:val="0049144D"/>
    <w:rsid w:val="00491839"/>
    <w:rsid w:val="00491A8F"/>
    <w:rsid w:val="00491CEB"/>
    <w:rsid w:val="004923A5"/>
    <w:rsid w:val="004923FA"/>
    <w:rsid w:val="00492C6B"/>
    <w:rsid w:val="00492E53"/>
    <w:rsid w:val="00493678"/>
    <w:rsid w:val="00493988"/>
    <w:rsid w:val="0049443E"/>
    <w:rsid w:val="00494972"/>
    <w:rsid w:val="00494D2D"/>
    <w:rsid w:val="004954EE"/>
    <w:rsid w:val="004954FB"/>
    <w:rsid w:val="004958AE"/>
    <w:rsid w:val="004960E0"/>
    <w:rsid w:val="0049715B"/>
    <w:rsid w:val="00497593"/>
    <w:rsid w:val="0049775B"/>
    <w:rsid w:val="00497EBD"/>
    <w:rsid w:val="004A0A73"/>
    <w:rsid w:val="004A14FB"/>
    <w:rsid w:val="004A1831"/>
    <w:rsid w:val="004A186E"/>
    <w:rsid w:val="004A1C73"/>
    <w:rsid w:val="004A1D48"/>
    <w:rsid w:val="004A1F32"/>
    <w:rsid w:val="004A23D7"/>
    <w:rsid w:val="004A3399"/>
    <w:rsid w:val="004A34FB"/>
    <w:rsid w:val="004A3B53"/>
    <w:rsid w:val="004A3E1B"/>
    <w:rsid w:val="004A4153"/>
    <w:rsid w:val="004A41FC"/>
    <w:rsid w:val="004A4B00"/>
    <w:rsid w:val="004A4C5A"/>
    <w:rsid w:val="004A540A"/>
    <w:rsid w:val="004A5583"/>
    <w:rsid w:val="004A5B1A"/>
    <w:rsid w:val="004A5C99"/>
    <w:rsid w:val="004A63A0"/>
    <w:rsid w:val="004A667B"/>
    <w:rsid w:val="004A66D9"/>
    <w:rsid w:val="004A79E5"/>
    <w:rsid w:val="004A7D27"/>
    <w:rsid w:val="004B07A9"/>
    <w:rsid w:val="004B101B"/>
    <w:rsid w:val="004B1304"/>
    <w:rsid w:val="004B17C8"/>
    <w:rsid w:val="004B1A95"/>
    <w:rsid w:val="004B1B2C"/>
    <w:rsid w:val="004B1C53"/>
    <w:rsid w:val="004B2730"/>
    <w:rsid w:val="004B2ACC"/>
    <w:rsid w:val="004B3B07"/>
    <w:rsid w:val="004B3F83"/>
    <w:rsid w:val="004B3F8C"/>
    <w:rsid w:val="004B4077"/>
    <w:rsid w:val="004B42FE"/>
    <w:rsid w:val="004B4D6F"/>
    <w:rsid w:val="004B4F1A"/>
    <w:rsid w:val="004B5293"/>
    <w:rsid w:val="004B539E"/>
    <w:rsid w:val="004B5D04"/>
    <w:rsid w:val="004B6184"/>
    <w:rsid w:val="004B69BB"/>
    <w:rsid w:val="004B6DA0"/>
    <w:rsid w:val="004B6FF7"/>
    <w:rsid w:val="004B776F"/>
    <w:rsid w:val="004B78AE"/>
    <w:rsid w:val="004B7A96"/>
    <w:rsid w:val="004B7CDB"/>
    <w:rsid w:val="004C035D"/>
    <w:rsid w:val="004C0D00"/>
    <w:rsid w:val="004C0D1F"/>
    <w:rsid w:val="004C0EC0"/>
    <w:rsid w:val="004C129D"/>
    <w:rsid w:val="004C12C1"/>
    <w:rsid w:val="004C1410"/>
    <w:rsid w:val="004C1ECC"/>
    <w:rsid w:val="004C2203"/>
    <w:rsid w:val="004C240D"/>
    <w:rsid w:val="004C2993"/>
    <w:rsid w:val="004C331A"/>
    <w:rsid w:val="004C3986"/>
    <w:rsid w:val="004C3ABF"/>
    <w:rsid w:val="004C41F4"/>
    <w:rsid w:val="004C4809"/>
    <w:rsid w:val="004C4896"/>
    <w:rsid w:val="004C4B45"/>
    <w:rsid w:val="004C4E0B"/>
    <w:rsid w:val="004C5185"/>
    <w:rsid w:val="004C550A"/>
    <w:rsid w:val="004C57B2"/>
    <w:rsid w:val="004C5C36"/>
    <w:rsid w:val="004C605A"/>
    <w:rsid w:val="004C6F92"/>
    <w:rsid w:val="004C73A6"/>
    <w:rsid w:val="004C7688"/>
    <w:rsid w:val="004D022B"/>
    <w:rsid w:val="004D037F"/>
    <w:rsid w:val="004D09F5"/>
    <w:rsid w:val="004D0B8E"/>
    <w:rsid w:val="004D0C94"/>
    <w:rsid w:val="004D0CA0"/>
    <w:rsid w:val="004D0EA5"/>
    <w:rsid w:val="004D1B98"/>
    <w:rsid w:val="004D1CBA"/>
    <w:rsid w:val="004D24B0"/>
    <w:rsid w:val="004D281A"/>
    <w:rsid w:val="004D369F"/>
    <w:rsid w:val="004D3946"/>
    <w:rsid w:val="004D3EA8"/>
    <w:rsid w:val="004D412A"/>
    <w:rsid w:val="004D429B"/>
    <w:rsid w:val="004D535D"/>
    <w:rsid w:val="004D54C8"/>
    <w:rsid w:val="004D553D"/>
    <w:rsid w:val="004D55E5"/>
    <w:rsid w:val="004D57B2"/>
    <w:rsid w:val="004D6421"/>
    <w:rsid w:val="004D6F3B"/>
    <w:rsid w:val="004D733C"/>
    <w:rsid w:val="004D75E1"/>
    <w:rsid w:val="004D7EA7"/>
    <w:rsid w:val="004D7FB7"/>
    <w:rsid w:val="004E013E"/>
    <w:rsid w:val="004E0943"/>
    <w:rsid w:val="004E0B10"/>
    <w:rsid w:val="004E0B1B"/>
    <w:rsid w:val="004E18F4"/>
    <w:rsid w:val="004E19CA"/>
    <w:rsid w:val="004E1ACE"/>
    <w:rsid w:val="004E1B43"/>
    <w:rsid w:val="004E1C38"/>
    <w:rsid w:val="004E2488"/>
    <w:rsid w:val="004E26E5"/>
    <w:rsid w:val="004E2C61"/>
    <w:rsid w:val="004E2EF7"/>
    <w:rsid w:val="004E33E6"/>
    <w:rsid w:val="004E3572"/>
    <w:rsid w:val="004E3871"/>
    <w:rsid w:val="004E3AAF"/>
    <w:rsid w:val="004E42E5"/>
    <w:rsid w:val="004E4830"/>
    <w:rsid w:val="004E49B9"/>
    <w:rsid w:val="004E4DFA"/>
    <w:rsid w:val="004E56C2"/>
    <w:rsid w:val="004E5827"/>
    <w:rsid w:val="004E5AE1"/>
    <w:rsid w:val="004E5B3F"/>
    <w:rsid w:val="004E5CEF"/>
    <w:rsid w:val="004E6231"/>
    <w:rsid w:val="004E6284"/>
    <w:rsid w:val="004E633C"/>
    <w:rsid w:val="004E669E"/>
    <w:rsid w:val="004E66CE"/>
    <w:rsid w:val="004E6ACB"/>
    <w:rsid w:val="004E718D"/>
    <w:rsid w:val="004E7411"/>
    <w:rsid w:val="004E7D6E"/>
    <w:rsid w:val="004E7D94"/>
    <w:rsid w:val="004E7ED3"/>
    <w:rsid w:val="004F0AD8"/>
    <w:rsid w:val="004F0C51"/>
    <w:rsid w:val="004F0D26"/>
    <w:rsid w:val="004F1203"/>
    <w:rsid w:val="004F2609"/>
    <w:rsid w:val="004F26F6"/>
    <w:rsid w:val="004F2A06"/>
    <w:rsid w:val="004F2A43"/>
    <w:rsid w:val="004F2ABE"/>
    <w:rsid w:val="004F30C4"/>
    <w:rsid w:val="004F3CB5"/>
    <w:rsid w:val="004F4622"/>
    <w:rsid w:val="004F473E"/>
    <w:rsid w:val="004F48B4"/>
    <w:rsid w:val="004F4F58"/>
    <w:rsid w:val="004F5C53"/>
    <w:rsid w:val="004F5FE0"/>
    <w:rsid w:val="004F6CEF"/>
    <w:rsid w:val="004F701C"/>
    <w:rsid w:val="004F7071"/>
    <w:rsid w:val="004F757F"/>
    <w:rsid w:val="004F75B7"/>
    <w:rsid w:val="004F7650"/>
    <w:rsid w:val="004F7BE1"/>
    <w:rsid w:val="004F7DBA"/>
    <w:rsid w:val="004F7FAD"/>
    <w:rsid w:val="005000F5"/>
    <w:rsid w:val="0050050B"/>
    <w:rsid w:val="005006DF"/>
    <w:rsid w:val="00500A5D"/>
    <w:rsid w:val="0050196D"/>
    <w:rsid w:val="00501A4F"/>
    <w:rsid w:val="00501FC0"/>
    <w:rsid w:val="0050227F"/>
    <w:rsid w:val="0050240B"/>
    <w:rsid w:val="00502957"/>
    <w:rsid w:val="00502AB3"/>
    <w:rsid w:val="00502B4E"/>
    <w:rsid w:val="00502E91"/>
    <w:rsid w:val="0050318F"/>
    <w:rsid w:val="005035EB"/>
    <w:rsid w:val="00503ACD"/>
    <w:rsid w:val="00503BE3"/>
    <w:rsid w:val="00503E67"/>
    <w:rsid w:val="00504015"/>
    <w:rsid w:val="005046A1"/>
    <w:rsid w:val="00504C85"/>
    <w:rsid w:val="00504F72"/>
    <w:rsid w:val="00504F82"/>
    <w:rsid w:val="005053A8"/>
    <w:rsid w:val="0050561B"/>
    <w:rsid w:val="00505912"/>
    <w:rsid w:val="00505C71"/>
    <w:rsid w:val="00505E26"/>
    <w:rsid w:val="00506324"/>
    <w:rsid w:val="0050632F"/>
    <w:rsid w:val="005070CB"/>
    <w:rsid w:val="00507168"/>
    <w:rsid w:val="0050785E"/>
    <w:rsid w:val="00510CAF"/>
    <w:rsid w:val="0051153F"/>
    <w:rsid w:val="00511624"/>
    <w:rsid w:val="00511740"/>
    <w:rsid w:val="0051181E"/>
    <w:rsid w:val="00511E22"/>
    <w:rsid w:val="00511FA4"/>
    <w:rsid w:val="00511FE6"/>
    <w:rsid w:val="00512290"/>
    <w:rsid w:val="00512366"/>
    <w:rsid w:val="0051245F"/>
    <w:rsid w:val="00513005"/>
    <w:rsid w:val="0051334E"/>
    <w:rsid w:val="00513762"/>
    <w:rsid w:val="0051376E"/>
    <w:rsid w:val="005137D8"/>
    <w:rsid w:val="00513B3B"/>
    <w:rsid w:val="00513B56"/>
    <w:rsid w:val="0051438C"/>
    <w:rsid w:val="00514617"/>
    <w:rsid w:val="00514BDF"/>
    <w:rsid w:val="005153F9"/>
    <w:rsid w:val="005155A6"/>
    <w:rsid w:val="00515DEC"/>
    <w:rsid w:val="00516184"/>
    <w:rsid w:val="00516882"/>
    <w:rsid w:val="00516FA1"/>
    <w:rsid w:val="005176B4"/>
    <w:rsid w:val="00517DE1"/>
    <w:rsid w:val="00520458"/>
    <w:rsid w:val="0052047D"/>
    <w:rsid w:val="00520568"/>
    <w:rsid w:val="005206C5"/>
    <w:rsid w:val="005208E0"/>
    <w:rsid w:val="0052273F"/>
    <w:rsid w:val="00522CC6"/>
    <w:rsid w:val="00522E54"/>
    <w:rsid w:val="00523162"/>
    <w:rsid w:val="00523713"/>
    <w:rsid w:val="00523B44"/>
    <w:rsid w:val="00523F70"/>
    <w:rsid w:val="0052459C"/>
    <w:rsid w:val="005245E1"/>
    <w:rsid w:val="005248C9"/>
    <w:rsid w:val="00524FAA"/>
    <w:rsid w:val="005254D5"/>
    <w:rsid w:val="00525AB2"/>
    <w:rsid w:val="00525FA0"/>
    <w:rsid w:val="005266CF"/>
    <w:rsid w:val="00526AAC"/>
    <w:rsid w:val="005272F0"/>
    <w:rsid w:val="00527478"/>
    <w:rsid w:val="0052781A"/>
    <w:rsid w:val="0053006D"/>
    <w:rsid w:val="005303B2"/>
    <w:rsid w:val="00531524"/>
    <w:rsid w:val="00531A45"/>
    <w:rsid w:val="005328E6"/>
    <w:rsid w:val="005329C2"/>
    <w:rsid w:val="005337D4"/>
    <w:rsid w:val="00533B67"/>
    <w:rsid w:val="00534328"/>
    <w:rsid w:val="00535276"/>
    <w:rsid w:val="005360E7"/>
    <w:rsid w:val="005368EC"/>
    <w:rsid w:val="00536E19"/>
    <w:rsid w:val="00537178"/>
    <w:rsid w:val="00537655"/>
    <w:rsid w:val="0053777A"/>
    <w:rsid w:val="00540632"/>
    <w:rsid w:val="00540B30"/>
    <w:rsid w:val="00541296"/>
    <w:rsid w:val="005414DF"/>
    <w:rsid w:val="00541A03"/>
    <w:rsid w:val="00541C38"/>
    <w:rsid w:val="00542127"/>
    <w:rsid w:val="005421CE"/>
    <w:rsid w:val="005431FF"/>
    <w:rsid w:val="00543E0F"/>
    <w:rsid w:val="0054409D"/>
    <w:rsid w:val="0054499E"/>
    <w:rsid w:val="00544E4C"/>
    <w:rsid w:val="005454E8"/>
    <w:rsid w:val="00545DC5"/>
    <w:rsid w:val="00545E12"/>
    <w:rsid w:val="00545F8F"/>
    <w:rsid w:val="005460B1"/>
    <w:rsid w:val="005467FD"/>
    <w:rsid w:val="00546DFB"/>
    <w:rsid w:val="00546E00"/>
    <w:rsid w:val="00547161"/>
    <w:rsid w:val="00547347"/>
    <w:rsid w:val="00547887"/>
    <w:rsid w:val="00547A73"/>
    <w:rsid w:val="00547F58"/>
    <w:rsid w:val="0055021C"/>
    <w:rsid w:val="005502DC"/>
    <w:rsid w:val="005509DA"/>
    <w:rsid w:val="00551A09"/>
    <w:rsid w:val="00551F85"/>
    <w:rsid w:val="0055206D"/>
    <w:rsid w:val="00552534"/>
    <w:rsid w:val="00552D0B"/>
    <w:rsid w:val="00552D2C"/>
    <w:rsid w:val="00553387"/>
    <w:rsid w:val="005533C7"/>
    <w:rsid w:val="00553B31"/>
    <w:rsid w:val="00553CAE"/>
    <w:rsid w:val="00553FEF"/>
    <w:rsid w:val="0055511E"/>
    <w:rsid w:val="005551B7"/>
    <w:rsid w:val="00555454"/>
    <w:rsid w:val="005557D7"/>
    <w:rsid w:val="00555C66"/>
    <w:rsid w:val="005562DF"/>
    <w:rsid w:val="00556EDD"/>
    <w:rsid w:val="00557348"/>
    <w:rsid w:val="00557763"/>
    <w:rsid w:val="0056004E"/>
    <w:rsid w:val="005602F4"/>
    <w:rsid w:val="0056123F"/>
    <w:rsid w:val="00561422"/>
    <w:rsid w:val="00561C18"/>
    <w:rsid w:val="00563514"/>
    <w:rsid w:val="005637A4"/>
    <w:rsid w:val="005639BA"/>
    <w:rsid w:val="005641B2"/>
    <w:rsid w:val="00564BC2"/>
    <w:rsid w:val="00564D46"/>
    <w:rsid w:val="00565C03"/>
    <w:rsid w:val="00566190"/>
    <w:rsid w:val="005666A1"/>
    <w:rsid w:val="005667B7"/>
    <w:rsid w:val="00566CF2"/>
    <w:rsid w:val="005674E0"/>
    <w:rsid w:val="00567671"/>
    <w:rsid w:val="00570530"/>
    <w:rsid w:val="00571A6A"/>
    <w:rsid w:val="00572663"/>
    <w:rsid w:val="00572699"/>
    <w:rsid w:val="00572787"/>
    <w:rsid w:val="00572EEC"/>
    <w:rsid w:val="005747F1"/>
    <w:rsid w:val="00574A53"/>
    <w:rsid w:val="00574C98"/>
    <w:rsid w:val="00575577"/>
    <w:rsid w:val="005757F9"/>
    <w:rsid w:val="00575935"/>
    <w:rsid w:val="00576171"/>
    <w:rsid w:val="0057629F"/>
    <w:rsid w:val="005765EA"/>
    <w:rsid w:val="00577004"/>
    <w:rsid w:val="00577082"/>
    <w:rsid w:val="005771B8"/>
    <w:rsid w:val="005776A9"/>
    <w:rsid w:val="00577C0E"/>
    <w:rsid w:val="00577EA1"/>
    <w:rsid w:val="005800AF"/>
    <w:rsid w:val="00580B93"/>
    <w:rsid w:val="00580E7C"/>
    <w:rsid w:val="00582213"/>
    <w:rsid w:val="00582426"/>
    <w:rsid w:val="005826C0"/>
    <w:rsid w:val="005831F3"/>
    <w:rsid w:val="005832D4"/>
    <w:rsid w:val="0058370A"/>
    <w:rsid w:val="0058439D"/>
    <w:rsid w:val="005856D7"/>
    <w:rsid w:val="00585A38"/>
    <w:rsid w:val="00586072"/>
    <w:rsid w:val="00586161"/>
    <w:rsid w:val="00587834"/>
    <w:rsid w:val="005879B6"/>
    <w:rsid w:val="00590EE0"/>
    <w:rsid w:val="005920FD"/>
    <w:rsid w:val="00592342"/>
    <w:rsid w:val="005925C4"/>
    <w:rsid w:val="00592DB0"/>
    <w:rsid w:val="00592F6D"/>
    <w:rsid w:val="005932F9"/>
    <w:rsid w:val="0059379B"/>
    <w:rsid w:val="00593B8B"/>
    <w:rsid w:val="00594050"/>
    <w:rsid w:val="00594129"/>
    <w:rsid w:val="0059455A"/>
    <w:rsid w:val="00594AB3"/>
    <w:rsid w:val="00594B2E"/>
    <w:rsid w:val="00594F86"/>
    <w:rsid w:val="00595267"/>
    <w:rsid w:val="005953AC"/>
    <w:rsid w:val="00595545"/>
    <w:rsid w:val="005956CF"/>
    <w:rsid w:val="005979A4"/>
    <w:rsid w:val="005A0607"/>
    <w:rsid w:val="005A194C"/>
    <w:rsid w:val="005A1AF6"/>
    <w:rsid w:val="005A1B38"/>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679A"/>
    <w:rsid w:val="005A7509"/>
    <w:rsid w:val="005A78C7"/>
    <w:rsid w:val="005A7CC0"/>
    <w:rsid w:val="005B01EE"/>
    <w:rsid w:val="005B0422"/>
    <w:rsid w:val="005B07C9"/>
    <w:rsid w:val="005B1027"/>
    <w:rsid w:val="005B17E1"/>
    <w:rsid w:val="005B19B5"/>
    <w:rsid w:val="005B1A84"/>
    <w:rsid w:val="005B1D23"/>
    <w:rsid w:val="005B2264"/>
    <w:rsid w:val="005B2558"/>
    <w:rsid w:val="005B29E0"/>
    <w:rsid w:val="005B2AEF"/>
    <w:rsid w:val="005B2C2B"/>
    <w:rsid w:val="005B2CCD"/>
    <w:rsid w:val="005B2EE5"/>
    <w:rsid w:val="005B2EFC"/>
    <w:rsid w:val="005B33F2"/>
    <w:rsid w:val="005B358D"/>
    <w:rsid w:val="005B35BB"/>
    <w:rsid w:val="005B3C10"/>
    <w:rsid w:val="005B48D3"/>
    <w:rsid w:val="005B4C80"/>
    <w:rsid w:val="005B51C3"/>
    <w:rsid w:val="005B6BE8"/>
    <w:rsid w:val="005B6FD5"/>
    <w:rsid w:val="005B79AA"/>
    <w:rsid w:val="005B7E15"/>
    <w:rsid w:val="005C007F"/>
    <w:rsid w:val="005C0A71"/>
    <w:rsid w:val="005C0BA1"/>
    <w:rsid w:val="005C0CB7"/>
    <w:rsid w:val="005C1962"/>
    <w:rsid w:val="005C1E10"/>
    <w:rsid w:val="005C2336"/>
    <w:rsid w:val="005C2BD0"/>
    <w:rsid w:val="005C36CC"/>
    <w:rsid w:val="005C49D5"/>
    <w:rsid w:val="005C4F74"/>
    <w:rsid w:val="005C5383"/>
    <w:rsid w:val="005C55A3"/>
    <w:rsid w:val="005C5656"/>
    <w:rsid w:val="005C68C0"/>
    <w:rsid w:val="005C6BE3"/>
    <w:rsid w:val="005C6D8D"/>
    <w:rsid w:val="005C740C"/>
    <w:rsid w:val="005C7559"/>
    <w:rsid w:val="005D0626"/>
    <w:rsid w:val="005D0658"/>
    <w:rsid w:val="005D08C3"/>
    <w:rsid w:val="005D0AD7"/>
    <w:rsid w:val="005D0EFD"/>
    <w:rsid w:val="005D1254"/>
    <w:rsid w:val="005D1692"/>
    <w:rsid w:val="005D2598"/>
    <w:rsid w:val="005D35BA"/>
    <w:rsid w:val="005D3B41"/>
    <w:rsid w:val="005D3B6B"/>
    <w:rsid w:val="005D3D0B"/>
    <w:rsid w:val="005D4340"/>
    <w:rsid w:val="005D573D"/>
    <w:rsid w:val="005D5A62"/>
    <w:rsid w:val="005D5DFA"/>
    <w:rsid w:val="005D5E42"/>
    <w:rsid w:val="005D5E5C"/>
    <w:rsid w:val="005D6665"/>
    <w:rsid w:val="005D66ED"/>
    <w:rsid w:val="005D67A6"/>
    <w:rsid w:val="005D69B1"/>
    <w:rsid w:val="005D6D13"/>
    <w:rsid w:val="005D748F"/>
    <w:rsid w:val="005E013F"/>
    <w:rsid w:val="005E1723"/>
    <w:rsid w:val="005E1D00"/>
    <w:rsid w:val="005E1FFB"/>
    <w:rsid w:val="005E2286"/>
    <w:rsid w:val="005E2A4D"/>
    <w:rsid w:val="005E2D40"/>
    <w:rsid w:val="005E353D"/>
    <w:rsid w:val="005E3A61"/>
    <w:rsid w:val="005E3ABB"/>
    <w:rsid w:val="005E3C74"/>
    <w:rsid w:val="005E402C"/>
    <w:rsid w:val="005E4085"/>
    <w:rsid w:val="005E43A8"/>
    <w:rsid w:val="005E470E"/>
    <w:rsid w:val="005E47A3"/>
    <w:rsid w:val="005E491F"/>
    <w:rsid w:val="005E4925"/>
    <w:rsid w:val="005E4D09"/>
    <w:rsid w:val="005E4E8E"/>
    <w:rsid w:val="005E52B8"/>
    <w:rsid w:val="005E5F7C"/>
    <w:rsid w:val="005E6093"/>
    <w:rsid w:val="005E62D3"/>
    <w:rsid w:val="005E68BC"/>
    <w:rsid w:val="005E6CE2"/>
    <w:rsid w:val="005E6FDB"/>
    <w:rsid w:val="005E7042"/>
    <w:rsid w:val="005E7073"/>
    <w:rsid w:val="005E7213"/>
    <w:rsid w:val="005E77D3"/>
    <w:rsid w:val="005F15D8"/>
    <w:rsid w:val="005F2296"/>
    <w:rsid w:val="005F23A5"/>
    <w:rsid w:val="005F284E"/>
    <w:rsid w:val="005F2D60"/>
    <w:rsid w:val="005F38AD"/>
    <w:rsid w:val="005F4498"/>
    <w:rsid w:val="005F4AED"/>
    <w:rsid w:val="005F4BAB"/>
    <w:rsid w:val="005F4DBF"/>
    <w:rsid w:val="005F4E55"/>
    <w:rsid w:val="005F5E9E"/>
    <w:rsid w:val="005F6106"/>
    <w:rsid w:val="005F61DF"/>
    <w:rsid w:val="005F73F9"/>
    <w:rsid w:val="005F7510"/>
    <w:rsid w:val="005F79A0"/>
    <w:rsid w:val="005F7A3E"/>
    <w:rsid w:val="006001E7"/>
    <w:rsid w:val="0060091E"/>
    <w:rsid w:val="006019E9"/>
    <w:rsid w:val="00601C07"/>
    <w:rsid w:val="00601F9D"/>
    <w:rsid w:val="006023FC"/>
    <w:rsid w:val="00602456"/>
    <w:rsid w:val="00602DF4"/>
    <w:rsid w:val="0060308C"/>
    <w:rsid w:val="006032A7"/>
    <w:rsid w:val="006033F1"/>
    <w:rsid w:val="0060366C"/>
    <w:rsid w:val="00603AA0"/>
    <w:rsid w:val="00603DAE"/>
    <w:rsid w:val="0060419B"/>
    <w:rsid w:val="00604245"/>
    <w:rsid w:val="006045FE"/>
    <w:rsid w:val="006046E5"/>
    <w:rsid w:val="00604AC9"/>
    <w:rsid w:val="006056A2"/>
    <w:rsid w:val="00605C46"/>
    <w:rsid w:val="00605CD7"/>
    <w:rsid w:val="0060606D"/>
    <w:rsid w:val="00606425"/>
    <w:rsid w:val="00606599"/>
    <w:rsid w:val="006065CA"/>
    <w:rsid w:val="00606634"/>
    <w:rsid w:val="0060690E"/>
    <w:rsid w:val="00606999"/>
    <w:rsid w:val="00606B27"/>
    <w:rsid w:val="00606D09"/>
    <w:rsid w:val="0060786D"/>
    <w:rsid w:val="00610113"/>
    <w:rsid w:val="006102CA"/>
    <w:rsid w:val="006104E2"/>
    <w:rsid w:val="0061072A"/>
    <w:rsid w:val="0061107C"/>
    <w:rsid w:val="00611189"/>
    <w:rsid w:val="00611287"/>
    <w:rsid w:val="00611714"/>
    <w:rsid w:val="00611715"/>
    <w:rsid w:val="00611855"/>
    <w:rsid w:val="00611B38"/>
    <w:rsid w:val="006122C1"/>
    <w:rsid w:val="006136B7"/>
    <w:rsid w:val="006136FD"/>
    <w:rsid w:val="00613724"/>
    <w:rsid w:val="00613A0E"/>
    <w:rsid w:val="00613AAE"/>
    <w:rsid w:val="00613CF3"/>
    <w:rsid w:val="0061439E"/>
    <w:rsid w:val="0061446B"/>
    <w:rsid w:val="0061478D"/>
    <w:rsid w:val="00614929"/>
    <w:rsid w:val="00614B16"/>
    <w:rsid w:val="00615302"/>
    <w:rsid w:val="006155C4"/>
    <w:rsid w:val="006166E9"/>
    <w:rsid w:val="0061726A"/>
    <w:rsid w:val="006178C6"/>
    <w:rsid w:val="00617F52"/>
    <w:rsid w:val="00620135"/>
    <w:rsid w:val="006209A8"/>
    <w:rsid w:val="00620BA3"/>
    <w:rsid w:val="00620D74"/>
    <w:rsid w:val="0062130E"/>
    <w:rsid w:val="00621318"/>
    <w:rsid w:val="006224C1"/>
    <w:rsid w:val="006227DA"/>
    <w:rsid w:val="006227E2"/>
    <w:rsid w:val="00622C55"/>
    <w:rsid w:val="00623DF9"/>
    <w:rsid w:val="00624561"/>
    <w:rsid w:val="006245CF"/>
    <w:rsid w:val="00624960"/>
    <w:rsid w:val="00624E24"/>
    <w:rsid w:val="00624E2C"/>
    <w:rsid w:val="00624F02"/>
    <w:rsid w:val="00625084"/>
    <w:rsid w:val="00625A03"/>
    <w:rsid w:val="00625B2F"/>
    <w:rsid w:val="00626187"/>
    <w:rsid w:val="00626984"/>
    <w:rsid w:val="00626C24"/>
    <w:rsid w:val="006271D9"/>
    <w:rsid w:val="00627F32"/>
    <w:rsid w:val="006303EF"/>
    <w:rsid w:val="0063084D"/>
    <w:rsid w:val="006308F0"/>
    <w:rsid w:val="0063091A"/>
    <w:rsid w:val="00630BB7"/>
    <w:rsid w:val="00631186"/>
    <w:rsid w:val="00631339"/>
    <w:rsid w:val="006313F5"/>
    <w:rsid w:val="0063193D"/>
    <w:rsid w:val="00632061"/>
    <w:rsid w:val="00632592"/>
    <w:rsid w:val="00632655"/>
    <w:rsid w:val="00632745"/>
    <w:rsid w:val="00632AF4"/>
    <w:rsid w:val="006333A3"/>
    <w:rsid w:val="00633683"/>
    <w:rsid w:val="006337ED"/>
    <w:rsid w:val="006346B7"/>
    <w:rsid w:val="00634865"/>
    <w:rsid w:val="00634F79"/>
    <w:rsid w:val="00635631"/>
    <w:rsid w:val="00635980"/>
    <w:rsid w:val="00635E0B"/>
    <w:rsid w:val="00635EC5"/>
    <w:rsid w:val="00636477"/>
    <w:rsid w:val="00636B38"/>
    <w:rsid w:val="006373C5"/>
    <w:rsid w:val="00637486"/>
    <w:rsid w:val="006376ED"/>
    <w:rsid w:val="0063777F"/>
    <w:rsid w:val="00637AC7"/>
    <w:rsid w:val="00637D6C"/>
    <w:rsid w:val="006406C4"/>
    <w:rsid w:val="00640734"/>
    <w:rsid w:val="006408FB"/>
    <w:rsid w:val="00640936"/>
    <w:rsid w:val="00640C20"/>
    <w:rsid w:val="006418AF"/>
    <w:rsid w:val="00641B34"/>
    <w:rsid w:val="00641D61"/>
    <w:rsid w:val="00642430"/>
    <w:rsid w:val="006425E4"/>
    <w:rsid w:val="0064260A"/>
    <w:rsid w:val="00643543"/>
    <w:rsid w:val="006448F8"/>
    <w:rsid w:val="006453C5"/>
    <w:rsid w:val="006458EC"/>
    <w:rsid w:val="00645F23"/>
    <w:rsid w:val="00646B3D"/>
    <w:rsid w:val="00646C1B"/>
    <w:rsid w:val="00647477"/>
    <w:rsid w:val="006475CE"/>
    <w:rsid w:val="00647EB3"/>
    <w:rsid w:val="00651138"/>
    <w:rsid w:val="006511A3"/>
    <w:rsid w:val="00651807"/>
    <w:rsid w:val="00651A62"/>
    <w:rsid w:val="006520A7"/>
    <w:rsid w:val="006527A8"/>
    <w:rsid w:val="00653100"/>
    <w:rsid w:val="006535F3"/>
    <w:rsid w:val="00653FA4"/>
    <w:rsid w:val="006550B5"/>
    <w:rsid w:val="006559C3"/>
    <w:rsid w:val="00655A00"/>
    <w:rsid w:val="00655A3B"/>
    <w:rsid w:val="006561D7"/>
    <w:rsid w:val="0065633E"/>
    <w:rsid w:val="006566F6"/>
    <w:rsid w:val="00656A22"/>
    <w:rsid w:val="00656C30"/>
    <w:rsid w:val="00657213"/>
    <w:rsid w:val="00657611"/>
    <w:rsid w:val="00657C0B"/>
    <w:rsid w:val="00657D09"/>
    <w:rsid w:val="00660FB3"/>
    <w:rsid w:val="006610A6"/>
    <w:rsid w:val="006613E6"/>
    <w:rsid w:val="006616A5"/>
    <w:rsid w:val="00661C98"/>
    <w:rsid w:val="00661E38"/>
    <w:rsid w:val="00661E6C"/>
    <w:rsid w:val="0066237F"/>
    <w:rsid w:val="00662E47"/>
    <w:rsid w:val="006632F9"/>
    <w:rsid w:val="006638CB"/>
    <w:rsid w:val="00663B82"/>
    <w:rsid w:val="00663BF7"/>
    <w:rsid w:val="00663EDB"/>
    <w:rsid w:val="00664219"/>
    <w:rsid w:val="00664482"/>
    <w:rsid w:val="00664DA9"/>
    <w:rsid w:val="0066598D"/>
    <w:rsid w:val="006659BE"/>
    <w:rsid w:val="00665B1A"/>
    <w:rsid w:val="00665E7A"/>
    <w:rsid w:val="00665F2F"/>
    <w:rsid w:val="00666945"/>
    <w:rsid w:val="00666C63"/>
    <w:rsid w:val="00666E11"/>
    <w:rsid w:val="00670201"/>
    <w:rsid w:val="00670A6D"/>
    <w:rsid w:val="00671CBE"/>
    <w:rsid w:val="00671EF5"/>
    <w:rsid w:val="00672DC7"/>
    <w:rsid w:val="00672DD5"/>
    <w:rsid w:val="00673566"/>
    <w:rsid w:val="00673610"/>
    <w:rsid w:val="00674346"/>
    <w:rsid w:val="00675797"/>
    <w:rsid w:val="00675919"/>
    <w:rsid w:val="00675A26"/>
    <w:rsid w:val="00675F26"/>
    <w:rsid w:val="00676100"/>
    <w:rsid w:val="006764B3"/>
    <w:rsid w:val="00676C85"/>
    <w:rsid w:val="00677649"/>
    <w:rsid w:val="00677856"/>
    <w:rsid w:val="0068029C"/>
    <w:rsid w:val="0068062F"/>
    <w:rsid w:val="00680F24"/>
    <w:rsid w:val="0068135E"/>
    <w:rsid w:val="00681447"/>
    <w:rsid w:val="0068146E"/>
    <w:rsid w:val="00681683"/>
    <w:rsid w:val="00681700"/>
    <w:rsid w:val="00682E00"/>
    <w:rsid w:val="00683FDC"/>
    <w:rsid w:val="0068420A"/>
    <w:rsid w:val="006847AF"/>
    <w:rsid w:val="00684A24"/>
    <w:rsid w:val="006858E7"/>
    <w:rsid w:val="00685AF2"/>
    <w:rsid w:val="00685B20"/>
    <w:rsid w:val="00687182"/>
    <w:rsid w:val="00687AFB"/>
    <w:rsid w:val="00687B79"/>
    <w:rsid w:val="00687E61"/>
    <w:rsid w:val="00687FDD"/>
    <w:rsid w:val="00690064"/>
    <w:rsid w:val="006905C6"/>
    <w:rsid w:val="006907C5"/>
    <w:rsid w:val="00690A19"/>
    <w:rsid w:val="00690E16"/>
    <w:rsid w:val="0069109A"/>
    <w:rsid w:val="00691446"/>
    <w:rsid w:val="006917CD"/>
    <w:rsid w:val="00691B34"/>
    <w:rsid w:val="00691D95"/>
    <w:rsid w:val="00691DFE"/>
    <w:rsid w:val="006924C1"/>
    <w:rsid w:val="00692780"/>
    <w:rsid w:val="00692A00"/>
    <w:rsid w:val="006934ED"/>
    <w:rsid w:val="00693548"/>
    <w:rsid w:val="00693595"/>
    <w:rsid w:val="00693928"/>
    <w:rsid w:val="006939D7"/>
    <w:rsid w:val="006941FC"/>
    <w:rsid w:val="006947A9"/>
    <w:rsid w:val="006949D2"/>
    <w:rsid w:val="00694C06"/>
    <w:rsid w:val="00694C5F"/>
    <w:rsid w:val="00695140"/>
    <w:rsid w:val="006955B2"/>
    <w:rsid w:val="00696587"/>
    <w:rsid w:val="00696917"/>
    <w:rsid w:val="006971D7"/>
    <w:rsid w:val="0069746E"/>
    <w:rsid w:val="00697544"/>
    <w:rsid w:val="00697946"/>
    <w:rsid w:val="00697C4E"/>
    <w:rsid w:val="006A028F"/>
    <w:rsid w:val="006A0AF2"/>
    <w:rsid w:val="006A0DE8"/>
    <w:rsid w:val="006A1331"/>
    <w:rsid w:val="006A14AE"/>
    <w:rsid w:val="006A2333"/>
    <w:rsid w:val="006A23D3"/>
    <w:rsid w:val="006A38F5"/>
    <w:rsid w:val="006A3903"/>
    <w:rsid w:val="006A3F08"/>
    <w:rsid w:val="006A4A9C"/>
    <w:rsid w:val="006A4D43"/>
    <w:rsid w:val="006A5A30"/>
    <w:rsid w:val="006A6325"/>
    <w:rsid w:val="006A6E1D"/>
    <w:rsid w:val="006A71A2"/>
    <w:rsid w:val="006A72F2"/>
    <w:rsid w:val="006A742B"/>
    <w:rsid w:val="006A757A"/>
    <w:rsid w:val="006A77B9"/>
    <w:rsid w:val="006A7A0B"/>
    <w:rsid w:val="006B0328"/>
    <w:rsid w:val="006B15F7"/>
    <w:rsid w:val="006B169E"/>
    <w:rsid w:val="006B177F"/>
    <w:rsid w:val="006B1A42"/>
    <w:rsid w:val="006B1A89"/>
    <w:rsid w:val="006B2842"/>
    <w:rsid w:val="006B2E90"/>
    <w:rsid w:val="006B2E9F"/>
    <w:rsid w:val="006B32AB"/>
    <w:rsid w:val="006B33B4"/>
    <w:rsid w:val="006B388A"/>
    <w:rsid w:val="006B4253"/>
    <w:rsid w:val="006B43EC"/>
    <w:rsid w:val="006B5691"/>
    <w:rsid w:val="006B58E6"/>
    <w:rsid w:val="006B652D"/>
    <w:rsid w:val="006B65A7"/>
    <w:rsid w:val="006B682E"/>
    <w:rsid w:val="006B68E0"/>
    <w:rsid w:val="006B6C95"/>
    <w:rsid w:val="006B6F8B"/>
    <w:rsid w:val="006B72FB"/>
    <w:rsid w:val="006B7F66"/>
    <w:rsid w:val="006C1910"/>
    <w:rsid w:val="006C1AC7"/>
    <w:rsid w:val="006C209F"/>
    <w:rsid w:val="006C2544"/>
    <w:rsid w:val="006C320A"/>
    <w:rsid w:val="006C32DC"/>
    <w:rsid w:val="006C3577"/>
    <w:rsid w:val="006C37F9"/>
    <w:rsid w:val="006C3998"/>
    <w:rsid w:val="006C3EC7"/>
    <w:rsid w:val="006C4BC8"/>
    <w:rsid w:val="006C4E53"/>
    <w:rsid w:val="006C56DA"/>
    <w:rsid w:val="006C5846"/>
    <w:rsid w:val="006C58F9"/>
    <w:rsid w:val="006C60D0"/>
    <w:rsid w:val="006C6511"/>
    <w:rsid w:val="006C655B"/>
    <w:rsid w:val="006C76FB"/>
    <w:rsid w:val="006C79C1"/>
    <w:rsid w:val="006D001F"/>
    <w:rsid w:val="006D1884"/>
    <w:rsid w:val="006D1972"/>
    <w:rsid w:val="006D19FD"/>
    <w:rsid w:val="006D1A13"/>
    <w:rsid w:val="006D1F1E"/>
    <w:rsid w:val="006D329F"/>
    <w:rsid w:val="006D32F6"/>
    <w:rsid w:val="006D4362"/>
    <w:rsid w:val="006D49AC"/>
    <w:rsid w:val="006D4A96"/>
    <w:rsid w:val="006D4AA0"/>
    <w:rsid w:val="006D4B3F"/>
    <w:rsid w:val="006D4C62"/>
    <w:rsid w:val="006D547A"/>
    <w:rsid w:val="006D554A"/>
    <w:rsid w:val="006D56A5"/>
    <w:rsid w:val="006D5A84"/>
    <w:rsid w:val="006D5B3B"/>
    <w:rsid w:val="006D5C23"/>
    <w:rsid w:val="006D60C2"/>
    <w:rsid w:val="006D629F"/>
    <w:rsid w:val="006D67E2"/>
    <w:rsid w:val="006D698F"/>
    <w:rsid w:val="006D6D66"/>
    <w:rsid w:val="006D712C"/>
    <w:rsid w:val="006D7ADA"/>
    <w:rsid w:val="006D7B17"/>
    <w:rsid w:val="006E0D0F"/>
    <w:rsid w:val="006E1047"/>
    <w:rsid w:val="006E1373"/>
    <w:rsid w:val="006E16AE"/>
    <w:rsid w:val="006E1820"/>
    <w:rsid w:val="006E237B"/>
    <w:rsid w:val="006E29A5"/>
    <w:rsid w:val="006E3763"/>
    <w:rsid w:val="006E37A9"/>
    <w:rsid w:val="006E38D8"/>
    <w:rsid w:val="006E3A5D"/>
    <w:rsid w:val="006E4250"/>
    <w:rsid w:val="006E43AD"/>
    <w:rsid w:val="006E45C9"/>
    <w:rsid w:val="006E4C13"/>
    <w:rsid w:val="006E638A"/>
    <w:rsid w:val="006E6450"/>
    <w:rsid w:val="006E66B8"/>
    <w:rsid w:val="006E69CC"/>
    <w:rsid w:val="006E6A83"/>
    <w:rsid w:val="006E6BD0"/>
    <w:rsid w:val="006E6C7A"/>
    <w:rsid w:val="006E7C12"/>
    <w:rsid w:val="006F07C5"/>
    <w:rsid w:val="006F0849"/>
    <w:rsid w:val="006F0A20"/>
    <w:rsid w:val="006F0BE7"/>
    <w:rsid w:val="006F0E5F"/>
    <w:rsid w:val="006F1312"/>
    <w:rsid w:val="006F1D3B"/>
    <w:rsid w:val="006F1D7D"/>
    <w:rsid w:val="006F1DDA"/>
    <w:rsid w:val="006F1EFB"/>
    <w:rsid w:val="006F265F"/>
    <w:rsid w:val="006F32B3"/>
    <w:rsid w:val="006F3389"/>
    <w:rsid w:val="006F41C3"/>
    <w:rsid w:val="006F44B3"/>
    <w:rsid w:val="006F460E"/>
    <w:rsid w:val="006F4DBC"/>
    <w:rsid w:val="006F5135"/>
    <w:rsid w:val="006F54CC"/>
    <w:rsid w:val="006F5528"/>
    <w:rsid w:val="006F552B"/>
    <w:rsid w:val="006F5782"/>
    <w:rsid w:val="006F5850"/>
    <w:rsid w:val="006F6039"/>
    <w:rsid w:val="006F6255"/>
    <w:rsid w:val="006F6659"/>
    <w:rsid w:val="006F71DA"/>
    <w:rsid w:val="006F7553"/>
    <w:rsid w:val="006F79AB"/>
    <w:rsid w:val="006F7E8D"/>
    <w:rsid w:val="007005DF"/>
    <w:rsid w:val="0070081B"/>
    <w:rsid w:val="007009F8"/>
    <w:rsid w:val="00700C8C"/>
    <w:rsid w:val="0070113A"/>
    <w:rsid w:val="0070184A"/>
    <w:rsid w:val="00701A88"/>
    <w:rsid w:val="00701ACD"/>
    <w:rsid w:val="00701B21"/>
    <w:rsid w:val="00701D40"/>
    <w:rsid w:val="007024F0"/>
    <w:rsid w:val="007026C0"/>
    <w:rsid w:val="007026D6"/>
    <w:rsid w:val="00702909"/>
    <w:rsid w:val="00702CAC"/>
    <w:rsid w:val="007032DC"/>
    <w:rsid w:val="007032E8"/>
    <w:rsid w:val="00703E35"/>
    <w:rsid w:val="00704168"/>
    <w:rsid w:val="00704686"/>
    <w:rsid w:val="00704C82"/>
    <w:rsid w:val="00704E4F"/>
    <w:rsid w:val="00705989"/>
    <w:rsid w:val="00705BDB"/>
    <w:rsid w:val="00705C33"/>
    <w:rsid w:val="00705FBF"/>
    <w:rsid w:val="007060FE"/>
    <w:rsid w:val="00706F15"/>
    <w:rsid w:val="00710043"/>
    <w:rsid w:val="00710138"/>
    <w:rsid w:val="007105EE"/>
    <w:rsid w:val="007109B3"/>
    <w:rsid w:val="00710A63"/>
    <w:rsid w:val="00710C6F"/>
    <w:rsid w:val="00710E30"/>
    <w:rsid w:val="0071128B"/>
    <w:rsid w:val="00711895"/>
    <w:rsid w:val="007119C8"/>
    <w:rsid w:val="00711ECE"/>
    <w:rsid w:val="00711FDE"/>
    <w:rsid w:val="007130A0"/>
    <w:rsid w:val="00713159"/>
    <w:rsid w:val="007133FE"/>
    <w:rsid w:val="00713598"/>
    <w:rsid w:val="0071382D"/>
    <w:rsid w:val="00713884"/>
    <w:rsid w:val="00713A65"/>
    <w:rsid w:val="00714100"/>
    <w:rsid w:val="00714199"/>
    <w:rsid w:val="007142F6"/>
    <w:rsid w:val="007149A9"/>
    <w:rsid w:val="00714DD2"/>
    <w:rsid w:val="00715B0A"/>
    <w:rsid w:val="0071610F"/>
    <w:rsid w:val="007166D2"/>
    <w:rsid w:val="00716880"/>
    <w:rsid w:val="00716A9D"/>
    <w:rsid w:val="00716AF5"/>
    <w:rsid w:val="007170CB"/>
    <w:rsid w:val="007174AD"/>
    <w:rsid w:val="007200B1"/>
    <w:rsid w:val="00720B93"/>
    <w:rsid w:val="00720E47"/>
    <w:rsid w:val="00721197"/>
    <w:rsid w:val="00721205"/>
    <w:rsid w:val="00721638"/>
    <w:rsid w:val="00721651"/>
    <w:rsid w:val="00721691"/>
    <w:rsid w:val="00721B73"/>
    <w:rsid w:val="00722486"/>
    <w:rsid w:val="00722829"/>
    <w:rsid w:val="00722C14"/>
    <w:rsid w:val="00723705"/>
    <w:rsid w:val="0072384A"/>
    <w:rsid w:val="007238C7"/>
    <w:rsid w:val="00724227"/>
    <w:rsid w:val="00724AC4"/>
    <w:rsid w:val="00724C04"/>
    <w:rsid w:val="00724C3A"/>
    <w:rsid w:val="00724F94"/>
    <w:rsid w:val="0072534C"/>
    <w:rsid w:val="0072540F"/>
    <w:rsid w:val="00725625"/>
    <w:rsid w:val="00725702"/>
    <w:rsid w:val="00725A9C"/>
    <w:rsid w:val="00726775"/>
    <w:rsid w:val="00727C3E"/>
    <w:rsid w:val="00727C66"/>
    <w:rsid w:val="0073032D"/>
    <w:rsid w:val="00730BFB"/>
    <w:rsid w:val="007314F8"/>
    <w:rsid w:val="00731535"/>
    <w:rsid w:val="00731622"/>
    <w:rsid w:val="00731678"/>
    <w:rsid w:val="00731E16"/>
    <w:rsid w:val="00732242"/>
    <w:rsid w:val="00732754"/>
    <w:rsid w:val="0073345B"/>
    <w:rsid w:val="00733BB0"/>
    <w:rsid w:val="00733BB7"/>
    <w:rsid w:val="00736434"/>
    <w:rsid w:val="00736D52"/>
    <w:rsid w:val="00737584"/>
    <w:rsid w:val="007377F9"/>
    <w:rsid w:val="00737AC2"/>
    <w:rsid w:val="00740627"/>
    <w:rsid w:val="00740D0B"/>
    <w:rsid w:val="00741174"/>
    <w:rsid w:val="00741185"/>
    <w:rsid w:val="007411BA"/>
    <w:rsid w:val="00741476"/>
    <w:rsid w:val="00741869"/>
    <w:rsid w:val="00741A0D"/>
    <w:rsid w:val="0074205F"/>
    <w:rsid w:val="007420AA"/>
    <w:rsid w:val="0074248F"/>
    <w:rsid w:val="007428D4"/>
    <w:rsid w:val="00742B89"/>
    <w:rsid w:val="00742C0B"/>
    <w:rsid w:val="00743050"/>
    <w:rsid w:val="0074383C"/>
    <w:rsid w:val="0074418E"/>
    <w:rsid w:val="007441AA"/>
    <w:rsid w:val="00744662"/>
    <w:rsid w:val="00744948"/>
    <w:rsid w:val="00745870"/>
    <w:rsid w:val="00745A36"/>
    <w:rsid w:val="007464DE"/>
    <w:rsid w:val="007465DD"/>
    <w:rsid w:val="00746DD4"/>
    <w:rsid w:val="0074784F"/>
    <w:rsid w:val="007479EF"/>
    <w:rsid w:val="00747DBC"/>
    <w:rsid w:val="00750167"/>
    <w:rsid w:val="00750388"/>
    <w:rsid w:val="00750441"/>
    <w:rsid w:val="0075076B"/>
    <w:rsid w:val="00750B87"/>
    <w:rsid w:val="00750BBA"/>
    <w:rsid w:val="00750E3B"/>
    <w:rsid w:val="00751A4A"/>
    <w:rsid w:val="00751CB1"/>
    <w:rsid w:val="00751E0A"/>
    <w:rsid w:val="00752B7D"/>
    <w:rsid w:val="00752BD0"/>
    <w:rsid w:val="00753014"/>
    <w:rsid w:val="00753325"/>
    <w:rsid w:val="00753575"/>
    <w:rsid w:val="007538D7"/>
    <w:rsid w:val="0075401E"/>
    <w:rsid w:val="00754057"/>
    <w:rsid w:val="0075426C"/>
    <w:rsid w:val="00754659"/>
    <w:rsid w:val="007549D5"/>
    <w:rsid w:val="00754C00"/>
    <w:rsid w:val="007558B2"/>
    <w:rsid w:val="00755922"/>
    <w:rsid w:val="00755C4F"/>
    <w:rsid w:val="00755D63"/>
    <w:rsid w:val="00755E8C"/>
    <w:rsid w:val="00755F24"/>
    <w:rsid w:val="0075620D"/>
    <w:rsid w:val="007562A4"/>
    <w:rsid w:val="0075653A"/>
    <w:rsid w:val="0075669C"/>
    <w:rsid w:val="00756949"/>
    <w:rsid w:val="00756EA1"/>
    <w:rsid w:val="00756FA2"/>
    <w:rsid w:val="007570EA"/>
    <w:rsid w:val="007577E3"/>
    <w:rsid w:val="00757AFA"/>
    <w:rsid w:val="00757CF9"/>
    <w:rsid w:val="00760556"/>
    <w:rsid w:val="00760A57"/>
    <w:rsid w:val="00760A76"/>
    <w:rsid w:val="00760B57"/>
    <w:rsid w:val="0076168A"/>
    <w:rsid w:val="00761785"/>
    <w:rsid w:val="007618BB"/>
    <w:rsid w:val="0076191A"/>
    <w:rsid w:val="0076244C"/>
    <w:rsid w:val="00762627"/>
    <w:rsid w:val="00762695"/>
    <w:rsid w:val="00762831"/>
    <w:rsid w:val="00762F01"/>
    <w:rsid w:val="00763581"/>
    <w:rsid w:val="00763A58"/>
    <w:rsid w:val="00763BBB"/>
    <w:rsid w:val="00763F19"/>
    <w:rsid w:val="0076436E"/>
    <w:rsid w:val="0076447C"/>
    <w:rsid w:val="0076463A"/>
    <w:rsid w:val="00764FC1"/>
    <w:rsid w:val="007651E9"/>
    <w:rsid w:val="0076596A"/>
    <w:rsid w:val="00766537"/>
    <w:rsid w:val="007665A0"/>
    <w:rsid w:val="0076732F"/>
    <w:rsid w:val="007676A3"/>
    <w:rsid w:val="007679CC"/>
    <w:rsid w:val="00767B6E"/>
    <w:rsid w:val="00770433"/>
    <w:rsid w:val="007716FE"/>
    <w:rsid w:val="00771986"/>
    <w:rsid w:val="00771CC1"/>
    <w:rsid w:val="00771D68"/>
    <w:rsid w:val="007720E2"/>
    <w:rsid w:val="007726E3"/>
    <w:rsid w:val="00772C7E"/>
    <w:rsid w:val="007730AD"/>
    <w:rsid w:val="00773707"/>
    <w:rsid w:val="00773DB2"/>
    <w:rsid w:val="007741C6"/>
    <w:rsid w:val="00774760"/>
    <w:rsid w:val="00774FD6"/>
    <w:rsid w:val="007750A8"/>
    <w:rsid w:val="00775C6A"/>
    <w:rsid w:val="00776B70"/>
    <w:rsid w:val="00776C6B"/>
    <w:rsid w:val="00776F5E"/>
    <w:rsid w:val="00777E02"/>
    <w:rsid w:val="00777FC8"/>
    <w:rsid w:val="0078088D"/>
    <w:rsid w:val="00780C10"/>
    <w:rsid w:val="007811EE"/>
    <w:rsid w:val="007813FD"/>
    <w:rsid w:val="00781422"/>
    <w:rsid w:val="0078180D"/>
    <w:rsid w:val="00781EEF"/>
    <w:rsid w:val="00781FA5"/>
    <w:rsid w:val="00782936"/>
    <w:rsid w:val="00782C2E"/>
    <w:rsid w:val="00782CB2"/>
    <w:rsid w:val="00782E60"/>
    <w:rsid w:val="00783061"/>
    <w:rsid w:val="00783131"/>
    <w:rsid w:val="00783607"/>
    <w:rsid w:val="00783B67"/>
    <w:rsid w:val="007840C8"/>
    <w:rsid w:val="0078428E"/>
    <w:rsid w:val="007844B0"/>
    <w:rsid w:val="00784F7E"/>
    <w:rsid w:val="00785371"/>
    <w:rsid w:val="00785485"/>
    <w:rsid w:val="00785826"/>
    <w:rsid w:val="00785922"/>
    <w:rsid w:val="007859CD"/>
    <w:rsid w:val="007859D8"/>
    <w:rsid w:val="00785CBD"/>
    <w:rsid w:val="00785F2E"/>
    <w:rsid w:val="0078616D"/>
    <w:rsid w:val="00786446"/>
    <w:rsid w:val="007867FA"/>
    <w:rsid w:val="00786E47"/>
    <w:rsid w:val="00786F76"/>
    <w:rsid w:val="0078711C"/>
    <w:rsid w:val="007873EC"/>
    <w:rsid w:val="00787F0D"/>
    <w:rsid w:val="007902A4"/>
    <w:rsid w:val="00790371"/>
    <w:rsid w:val="00790C62"/>
    <w:rsid w:val="00790DCB"/>
    <w:rsid w:val="00790E98"/>
    <w:rsid w:val="00791DFD"/>
    <w:rsid w:val="00791E78"/>
    <w:rsid w:val="00791F10"/>
    <w:rsid w:val="00791FB1"/>
    <w:rsid w:val="00792103"/>
    <w:rsid w:val="0079227F"/>
    <w:rsid w:val="0079278F"/>
    <w:rsid w:val="00792B66"/>
    <w:rsid w:val="00792F6A"/>
    <w:rsid w:val="007932FA"/>
    <w:rsid w:val="00793532"/>
    <w:rsid w:val="007936EB"/>
    <w:rsid w:val="0079375D"/>
    <w:rsid w:val="00793B3F"/>
    <w:rsid w:val="00794187"/>
    <w:rsid w:val="00794E05"/>
    <w:rsid w:val="00794E0C"/>
    <w:rsid w:val="0079513D"/>
    <w:rsid w:val="00795274"/>
    <w:rsid w:val="0079537D"/>
    <w:rsid w:val="007953AD"/>
    <w:rsid w:val="00795B9A"/>
    <w:rsid w:val="00796998"/>
    <w:rsid w:val="00796C04"/>
    <w:rsid w:val="00797192"/>
    <w:rsid w:val="0079749C"/>
    <w:rsid w:val="007974D3"/>
    <w:rsid w:val="00797879"/>
    <w:rsid w:val="00797A95"/>
    <w:rsid w:val="00797DA6"/>
    <w:rsid w:val="007A0181"/>
    <w:rsid w:val="007A02C8"/>
    <w:rsid w:val="007A054B"/>
    <w:rsid w:val="007A092E"/>
    <w:rsid w:val="007A0EA7"/>
    <w:rsid w:val="007A1722"/>
    <w:rsid w:val="007A17D9"/>
    <w:rsid w:val="007A1864"/>
    <w:rsid w:val="007A1C1D"/>
    <w:rsid w:val="007A2437"/>
    <w:rsid w:val="007A2D80"/>
    <w:rsid w:val="007A2F0C"/>
    <w:rsid w:val="007A301D"/>
    <w:rsid w:val="007A30DC"/>
    <w:rsid w:val="007A3A04"/>
    <w:rsid w:val="007A3DDC"/>
    <w:rsid w:val="007A3FAA"/>
    <w:rsid w:val="007A4149"/>
    <w:rsid w:val="007A4538"/>
    <w:rsid w:val="007A47E6"/>
    <w:rsid w:val="007A48C1"/>
    <w:rsid w:val="007A54A9"/>
    <w:rsid w:val="007A589A"/>
    <w:rsid w:val="007A6928"/>
    <w:rsid w:val="007A6B9A"/>
    <w:rsid w:val="007A6CD4"/>
    <w:rsid w:val="007A7425"/>
    <w:rsid w:val="007A76CD"/>
    <w:rsid w:val="007A7F70"/>
    <w:rsid w:val="007B00C2"/>
    <w:rsid w:val="007B04D9"/>
    <w:rsid w:val="007B06C1"/>
    <w:rsid w:val="007B083C"/>
    <w:rsid w:val="007B0E7A"/>
    <w:rsid w:val="007B0EA0"/>
    <w:rsid w:val="007B112B"/>
    <w:rsid w:val="007B1340"/>
    <w:rsid w:val="007B15BE"/>
    <w:rsid w:val="007B186E"/>
    <w:rsid w:val="007B2126"/>
    <w:rsid w:val="007B2224"/>
    <w:rsid w:val="007B26D2"/>
    <w:rsid w:val="007B2A5B"/>
    <w:rsid w:val="007B2BBC"/>
    <w:rsid w:val="007B30FF"/>
    <w:rsid w:val="007B3242"/>
    <w:rsid w:val="007B3524"/>
    <w:rsid w:val="007B35AF"/>
    <w:rsid w:val="007B36AD"/>
    <w:rsid w:val="007B3898"/>
    <w:rsid w:val="007B3A78"/>
    <w:rsid w:val="007B4E30"/>
    <w:rsid w:val="007B4FF3"/>
    <w:rsid w:val="007B53E5"/>
    <w:rsid w:val="007B5763"/>
    <w:rsid w:val="007B5907"/>
    <w:rsid w:val="007B5EBA"/>
    <w:rsid w:val="007B6D98"/>
    <w:rsid w:val="007B70FB"/>
    <w:rsid w:val="007B748C"/>
    <w:rsid w:val="007B78A2"/>
    <w:rsid w:val="007C0362"/>
    <w:rsid w:val="007C0382"/>
    <w:rsid w:val="007C04D7"/>
    <w:rsid w:val="007C0A80"/>
    <w:rsid w:val="007C1072"/>
    <w:rsid w:val="007C142A"/>
    <w:rsid w:val="007C14A5"/>
    <w:rsid w:val="007C1C58"/>
    <w:rsid w:val="007C1F67"/>
    <w:rsid w:val="007C35C3"/>
    <w:rsid w:val="007C3960"/>
    <w:rsid w:val="007C3C7A"/>
    <w:rsid w:val="007C418C"/>
    <w:rsid w:val="007C42BA"/>
    <w:rsid w:val="007C48DA"/>
    <w:rsid w:val="007C5125"/>
    <w:rsid w:val="007C573A"/>
    <w:rsid w:val="007C5967"/>
    <w:rsid w:val="007C6182"/>
    <w:rsid w:val="007C65E8"/>
    <w:rsid w:val="007C752D"/>
    <w:rsid w:val="007D007F"/>
    <w:rsid w:val="007D07B2"/>
    <w:rsid w:val="007D07F3"/>
    <w:rsid w:val="007D0E23"/>
    <w:rsid w:val="007D1222"/>
    <w:rsid w:val="007D1DA4"/>
    <w:rsid w:val="007D244F"/>
    <w:rsid w:val="007D29A4"/>
    <w:rsid w:val="007D29D3"/>
    <w:rsid w:val="007D2E8C"/>
    <w:rsid w:val="007D36A7"/>
    <w:rsid w:val="007D3827"/>
    <w:rsid w:val="007D3CD8"/>
    <w:rsid w:val="007D408C"/>
    <w:rsid w:val="007D425C"/>
    <w:rsid w:val="007D46CD"/>
    <w:rsid w:val="007D4C5A"/>
    <w:rsid w:val="007D50FF"/>
    <w:rsid w:val="007D5184"/>
    <w:rsid w:val="007D566B"/>
    <w:rsid w:val="007D5D9F"/>
    <w:rsid w:val="007D69C0"/>
    <w:rsid w:val="007D6AB2"/>
    <w:rsid w:val="007D7C0A"/>
    <w:rsid w:val="007E030B"/>
    <w:rsid w:val="007E09DD"/>
    <w:rsid w:val="007E0ABB"/>
    <w:rsid w:val="007E0CD5"/>
    <w:rsid w:val="007E0FF8"/>
    <w:rsid w:val="007E1229"/>
    <w:rsid w:val="007E1778"/>
    <w:rsid w:val="007E1DE4"/>
    <w:rsid w:val="007E239B"/>
    <w:rsid w:val="007E26AE"/>
    <w:rsid w:val="007E2C69"/>
    <w:rsid w:val="007E39ED"/>
    <w:rsid w:val="007E3BA0"/>
    <w:rsid w:val="007E3E99"/>
    <w:rsid w:val="007E451B"/>
    <w:rsid w:val="007E4946"/>
    <w:rsid w:val="007E4D95"/>
    <w:rsid w:val="007E4F1D"/>
    <w:rsid w:val="007E57A6"/>
    <w:rsid w:val="007E5A5B"/>
    <w:rsid w:val="007E60F0"/>
    <w:rsid w:val="007E6B4A"/>
    <w:rsid w:val="007E6C59"/>
    <w:rsid w:val="007E6F56"/>
    <w:rsid w:val="007E706F"/>
    <w:rsid w:val="007E707F"/>
    <w:rsid w:val="007E7F22"/>
    <w:rsid w:val="007F007B"/>
    <w:rsid w:val="007F0641"/>
    <w:rsid w:val="007F1151"/>
    <w:rsid w:val="007F122B"/>
    <w:rsid w:val="007F13B3"/>
    <w:rsid w:val="007F1411"/>
    <w:rsid w:val="007F165A"/>
    <w:rsid w:val="007F1DA0"/>
    <w:rsid w:val="007F23CB"/>
    <w:rsid w:val="007F264F"/>
    <w:rsid w:val="007F2DAE"/>
    <w:rsid w:val="007F2F49"/>
    <w:rsid w:val="007F2F54"/>
    <w:rsid w:val="007F2F65"/>
    <w:rsid w:val="007F3038"/>
    <w:rsid w:val="007F30B6"/>
    <w:rsid w:val="007F32FE"/>
    <w:rsid w:val="007F37DF"/>
    <w:rsid w:val="007F3BED"/>
    <w:rsid w:val="007F4895"/>
    <w:rsid w:val="007F4A25"/>
    <w:rsid w:val="007F5819"/>
    <w:rsid w:val="007F58FB"/>
    <w:rsid w:val="007F5F6A"/>
    <w:rsid w:val="007F6642"/>
    <w:rsid w:val="007F6C1E"/>
    <w:rsid w:val="007F6D2F"/>
    <w:rsid w:val="007F7166"/>
    <w:rsid w:val="007F7507"/>
    <w:rsid w:val="007F7ACF"/>
    <w:rsid w:val="007F7C79"/>
    <w:rsid w:val="0080008D"/>
    <w:rsid w:val="00800214"/>
    <w:rsid w:val="008009F2"/>
    <w:rsid w:val="00800A28"/>
    <w:rsid w:val="00801748"/>
    <w:rsid w:val="008020DD"/>
    <w:rsid w:val="008035D0"/>
    <w:rsid w:val="00803FCE"/>
    <w:rsid w:val="00804E3F"/>
    <w:rsid w:val="00805060"/>
    <w:rsid w:val="00805483"/>
    <w:rsid w:val="008058B1"/>
    <w:rsid w:val="008063E1"/>
    <w:rsid w:val="00807044"/>
    <w:rsid w:val="008072E4"/>
    <w:rsid w:val="0081085D"/>
    <w:rsid w:val="00810A4B"/>
    <w:rsid w:val="00810CA6"/>
    <w:rsid w:val="00810D0B"/>
    <w:rsid w:val="00811086"/>
    <w:rsid w:val="008113CC"/>
    <w:rsid w:val="00812846"/>
    <w:rsid w:val="008128B7"/>
    <w:rsid w:val="00812F87"/>
    <w:rsid w:val="00813605"/>
    <w:rsid w:val="0081382C"/>
    <w:rsid w:val="0081405E"/>
    <w:rsid w:val="008143A1"/>
    <w:rsid w:val="00814951"/>
    <w:rsid w:val="00814AF7"/>
    <w:rsid w:val="00814C77"/>
    <w:rsid w:val="00815111"/>
    <w:rsid w:val="00816069"/>
    <w:rsid w:val="00816E4D"/>
    <w:rsid w:val="00816EBE"/>
    <w:rsid w:val="00816F44"/>
    <w:rsid w:val="00816FCD"/>
    <w:rsid w:val="00817583"/>
    <w:rsid w:val="00817850"/>
    <w:rsid w:val="00820040"/>
    <w:rsid w:val="0082014E"/>
    <w:rsid w:val="00820A92"/>
    <w:rsid w:val="00821358"/>
    <w:rsid w:val="008218D0"/>
    <w:rsid w:val="00821AC0"/>
    <w:rsid w:val="008223B3"/>
    <w:rsid w:val="008224A7"/>
    <w:rsid w:val="00822B1E"/>
    <w:rsid w:val="0082342B"/>
    <w:rsid w:val="00823937"/>
    <w:rsid w:val="00823A8A"/>
    <w:rsid w:val="00823A9E"/>
    <w:rsid w:val="00823AFD"/>
    <w:rsid w:val="00823B4B"/>
    <w:rsid w:val="00823E8C"/>
    <w:rsid w:val="00823F36"/>
    <w:rsid w:val="008251CF"/>
    <w:rsid w:val="00825931"/>
    <w:rsid w:val="00825F94"/>
    <w:rsid w:val="0082600E"/>
    <w:rsid w:val="00826103"/>
    <w:rsid w:val="00826668"/>
    <w:rsid w:val="00826C8F"/>
    <w:rsid w:val="00826D96"/>
    <w:rsid w:val="00827000"/>
    <w:rsid w:val="008277CA"/>
    <w:rsid w:val="00827AD4"/>
    <w:rsid w:val="00830DCF"/>
    <w:rsid w:val="00831077"/>
    <w:rsid w:val="0083166C"/>
    <w:rsid w:val="008316AC"/>
    <w:rsid w:val="008319CF"/>
    <w:rsid w:val="00831A66"/>
    <w:rsid w:val="00831B3D"/>
    <w:rsid w:val="008324AA"/>
    <w:rsid w:val="00833007"/>
    <w:rsid w:val="008331AD"/>
    <w:rsid w:val="008339EF"/>
    <w:rsid w:val="00833FFC"/>
    <w:rsid w:val="008356BF"/>
    <w:rsid w:val="00836844"/>
    <w:rsid w:val="00836AD9"/>
    <w:rsid w:val="00836AF6"/>
    <w:rsid w:val="00836E10"/>
    <w:rsid w:val="00836F42"/>
    <w:rsid w:val="00837C97"/>
    <w:rsid w:val="00837F29"/>
    <w:rsid w:val="00840F14"/>
    <w:rsid w:val="00841543"/>
    <w:rsid w:val="00841B12"/>
    <w:rsid w:val="0084204F"/>
    <w:rsid w:val="00842C36"/>
    <w:rsid w:val="00843668"/>
    <w:rsid w:val="00844B0D"/>
    <w:rsid w:val="00844CCA"/>
    <w:rsid w:val="00844F46"/>
    <w:rsid w:val="00845478"/>
    <w:rsid w:val="00845B48"/>
    <w:rsid w:val="0084665E"/>
    <w:rsid w:val="008467A9"/>
    <w:rsid w:val="00846D31"/>
    <w:rsid w:val="00846F8E"/>
    <w:rsid w:val="00847B8D"/>
    <w:rsid w:val="00847C53"/>
    <w:rsid w:val="00847EDD"/>
    <w:rsid w:val="00850145"/>
    <w:rsid w:val="00850321"/>
    <w:rsid w:val="0085038F"/>
    <w:rsid w:val="008507DF"/>
    <w:rsid w:val="00850808"/>
    <w:rsid w:val="00850858"/>
    <w:rsid w:val="00850966"/>
    <w:rsid w:val="00850AEC"/>
    <w:rsid w:val="00850B85"/>
    <w:rsid w:val="00850C28"/>
    <w:rsid w:val="00851B66"/>
    <w:rsid w:val="00851DF3"/>
    <w:rsid w:val="008521C8"/>
    <w:rsid w:val="00852265"/>
    <w:rsid w:val="00852288"/>
    <w:rsid w:val="00852A03"/>
    <w:rsid w:val="00852DED"/>
    <w:rsid w:val="00852E60"/>
    <w:rsid w:val="00853030"/>
    <w:rsid w:val="00853F83"/>
    <w:rsid w:val="0085400D"/>
    <w:rsid w:val="00854062"/>
    <w:rsid w:val="00854789"/>
    <w:rsid w:val="00854BAA"/>
    <w:rsid w:val="00855089"/>
    <w:rsid w:val="0085575A"/>
    <w:rsid w:val="008559B5"/>
    <w:rsid w:val="00855A02"/>
    <w:rsid w:val="008563F0"/>
    <w:rsid w:val="00856B9B"/>
    <w:rsid w:val="008575C8"/>
    <w:rsid w:val="00857AAF"/>
    <w:rsid w:val="0086070D"/>
    <w:rsid w:val="00861352"/>
    <w:rsid w:val="0086148E"/>
    <w:rsid w:val="00861921"/>
    <w:rsid w:val="00861E04"/>
    <w:rsid w:val="008624C1"/>
    <w:rsid w:val="0086297B"/>
    <w:rsid w:val="0086397C"/>
    <w:rsid w:val="0086406C"/>
    <w:rsid w:val="008648DF"/>
    <w:rsid w:val="00864A0C"/>
    <w:rsid w:val="00864A8B"/>
    <w:rsid w:val="008658E9"/>
    <w:rsid w:val="008663E4"/>
    <w:rsid w:val="00866F6B"/>
    <w:rsid w:val="00866FB6"/>
    <w:rsid w:val="0086715E"/>
    <w:rsid w:val="00867227"/>
    <w:rsid w:val="00867330"/>
    <w:rsid w:val="008674A9"/>
    <w:rsid w:val="00867E22"/>
    <w:rsid w:val="00867ED8"/>
    <w:rsid w:val="0087023C"/>
    <w:rsid w:val="008702D2"/>
    <w:rsid w:val="0087096F"/>
    <w:rsid w:val="00871A3D"/>
    <w:rsid w:val="00871B62"/>
    <w:rsid w:val="00871F3E"/>
    <w:rsid w:val="00872341"/>
    <w:rsid w:val="00872EFF"/>
    <w:rsid w:val="00873322"/>
    <w:rsid w:val="00873734"/>
    <w:rsid w:val="008737C9"/>
    <w:rsid w:val="00873CE6"/>
    <w:rsid w:val="00873E56"/>
    <w:rsid w:val="008740F3"/>
    <w:rsid w:val="00874E00"/>
    <w:rsid w:val="00875423"/>
    <w:rsid w:val="00875D05"/>
    <w:rsid w:val="00875D4D"/>
    <w:rsid w:val="00876108"/>
    <w:rsid w:val="0087647F"/>
    <w:rsid w:val="008768D7"/>
    <w:rsid w:val="00877340"/>
    <w:rsid w:val="008773A4"/>
    <w:rsid w:val="00877494"/>
    <w:rsid w:val="00877815"/>
    <w:rsid w:val="00880D1A"/>
    <w:rsid w:val="00880ECC"/>
    <w:rsid w:val="00881208"/>
    <w:rsid w:val="0088132F"/>
    <w:rsid w:val="00881413"/>
    <w:rsid w:val="00881861"/>
    <w:rsid w:val="00881C20"/>
    <w:rsid w:val="0088205C"/>
    <w:rsid w:val="00882775"/>
    <w:rsid w:val="00882854"/>
    <w:rsid w:val="00883A45"/>
    <w:rsid w:val="00884075"/>
    <w:rsid w:val="008847F5"/>
    <w:rsid w:val="00884C9E"/>
    <w:rsid w:val="00884ED0"/>
    <w:rsid w:val="00884EE5"/>
    <w:rsid w:val="008852E2"/>
    <w:rsid w:val="00885BCA"/>
    <w:rsid w:val="00885C57"/>
    <w:rsid w:val="00885D57"/>
    <w:rsid w:val="00886202"/>
    <w:rsid w:val="008863D0"/>
    <w:rsid w:val="0088653A"/>
    <w:rsid w:val="00886559"/>
    <w:rsid w:val="008866B3"/>
    <w:rsid w:val="008866E3"/>
    <w:rsid w:val="00886728"/>
    <w:rsid w:val="00886744"/>
    <w:rsid w:val="00887326"/>
    <w:rsid w:val="008876CE"/>
    <w:rsid w:val="00887A92"/>
    <w:rsid w:val="00887CD8"/>
    <w:rsid w:val="00887DB2"/>
    <w:rsid w:val="008904D4"/>
    <w:rsid w:val="00890CB2"/>
    <w:rsid w:val="00890D3F"/>
    <w:rsid w:val="0089177C"/>
    <w:rsid w:val="00891EC9"/>
    <w:rsid w:val="00892698"/>
    <w:rsid w:val="008928A7"/>
    <w:rsid w:val="00892DE1"/>
    <w:rsid w:val="0089322A"/>
    <w:rsid w:val="00893A9E"/>
    <w:rsid w:val="00893F4C"/>
    <w:rsid w:val="008942C0"/>
    <w:rsid w:val="008944F2"/>
    <w:rsid w:val="0089478B"/>
    <w:rsid w:val="00894AE1"/>
    <w:rsid w:val="00894E2D"/>
    <w:rsid w:val="00895126"/>
    <w:rsid w:val="00895C38"/>
    <w:rsid w:val="008962EF"/>
    <w:rsid w:val="00896944"/>
    <w:rsid w:val="00896FBA"/>
    <w:rsid w:val="008975DD"/>
    <w:rsid w:val="008A095E"/>
    <w:rsid w:val="008A0AC1"/>
    <w:rsid w:val="008A0B82"/>
    <w:rsid w:val="008A0D2B"/>
    <w:rsid w:val="008A0D58"/>
    <w:rsid w:val="008A10F4"/>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40"/>
    <w:rsid w:val="008A68B9"/>
    <w:rsid w:val="008A6BFF"/>
    <w:rsid w:val="008A6ECC"/>
    <w:rsid w:val="008A6F4C"/>
    <w:rsid w:val="008A745F"/>
    <w:rsid w:val="008A74F3"/>
    <w:rsid w:val="008B017C"/>
    <w:rsid w:val="008B0203"/>
    <w:rsid w:val="008B047A"/>
    <w:rsid w:val="008B077B"/>
    <w:rsid w:val="008B0AEC"/>
    <w:rsid w:val="008B0CDA"/>
    <w:rsid w:val="008B1A12"/>
    <w:rsid w:val="008B1BFB"/>
    <w:rsid w:val="008B1D76"/>
    <w:rsid w:val="008B2529"/>
    <w:rsid w:val="008B2A9D"/>
    <w:rsid w:val="008B30A9"/>
    <w:rsid w:val="008B43AD"/>
    <w:rsid w:val="008B43E1"/>
    <w:rsid w:val="008B4798"/>
    <w:rsid w:val="008B4956"/>
    <w:rsid w:val="008B4A57"/>
    <w:rsid w:val="008B5599"/>
    <w:rsid w:val="008B60AB"/>
    <w:rsid w:val="008B6884"/>
    <w:rsid w:val="008B697F"/>
    <w:rsid w:val="008B6C7E"/>
    <w:rsid w:val="008B6DDB"/>
    <w:rsid w:val="008B6E1B"/>
    <w:rsid w:val="008B71AB"/>
    <w:rsid w:val="008B73FA"/>
    <w:rsid w:val="008B74D9"/>
    <w:rsid w:val="008B7759"/>
    <w:rsid w:val="008B7C99"/>
    <w:rsid w:val="008B7D50"/>
    <w:rsid w:val="008C0129"/>
    <w:rsid w:val="008C08CD"/>
    <w:rsid w:val="008C091A"/>
    <w:rsid w:val="008C0B10"/>
    <w:rsid w:val="008C0B31"/>
    <w:rsid w:val="008C1098"/>
    <w:rsid w:val="008C1BC5"/>
    <w:rsid w:val="008C1C2C"/>
    <w:rsid w:val="008C2345"/>
    <w:rsid w:val="008C2C69"/>
    <w:rsid w:val="008C2F3C"/>
    <w:rsid w:val="008C32E0"/>
    <w:rsid w:val="008C33ED"/>
    <w:rsid w:val="008C3844"/>
    <w:rsid w:val="008C388C"/>
    <w:rsid w:val="008C4333"/>
    <w:rsid w:val="008C4A60"/>
    <w:rsid w:val="008C5A14"/>
    <w:rsid w:val="008C5B0F"/>
    <w:rsid w:val="008C5BC3"/>
    <w:rsid w:val="008C654A"/>
    <w:rsid w:val="008C6D6F"/>
    <w:rsid w:val="008C7786"/>
    <w:rsid w:val="008D0075"/>
    <w:rsid w:val="008D027C"/>
    <w:rsid w:val="008D0ADA"/>
    <w:rsid w:val="008D0F43"/>
    <w:rsid w:val="008D1266"/>
    <w:rsid w:val="008D1935"/>
    <w:rsid w:val="008D1F1F"/>
    <w:rsid w:val="008D1FDF"/>
    <w:rsid w:val="008D2F42"/>
    <w:rsid w:val="008D3723"/>
    <w:rsid w:val="008D3ED7"/>
    <w:rsid w:val="008D41FA"/>
    <w:rsid w:val="008D44C7"/>
    <w:rsid w:val="008D49F8"/>
    <w:rsid w:val="008D4AB4"/>
    <w:rsid w:val="008D4D0A"/>
    <w:rsid w:val="008D5301"/>
    <w:rsid w:val="008D5342"/>
    <w:rsid w:val="008D53A4"/>
    <w:rsid w:val="008D53AD"/>
    <w:rsid w:val="008D6124"/>
    <w:rsid w:val="008D62DF"/>
    <w:rsid w:val="008D67C7"/>
    <w:rsid w:val="008D7183"/>
    <w:rsid w:val="008D7BFA"/>
    <w:rsid w:val="008D7C78"/>
    <w:rsid w:val="008D7F41"/>
    <w:rsid w:val="008E001E"/>
    <w:rsid w:val="008E056A"/>
    <w:rsid w:val="008E06AE"/>
    <w:rsid w:val="008E0FA2"/>
    <w:rsid w:val="008E2293"/>
    <w:rsid w:val="008E2751"/>
    <w:rsid w:val="008E27C5"/>
    <w:rsid w:val="008E27DB"/>
    <w:rsid w:val="008E2945"/>
    <w:rsid w:val="008E2962"/>
    <w:rsid w:val="008E29AA"/>
    <w:rsid w:val="008E31DB"/>
    <w:rsid w:val="008E3AFA"/>
    <w:rsid w:val="008E3BF4"/>
    <w:rsid w:val="008E4076"/>
    <w:rsid w:val="008E4422"/>
    <w:rsid w:val="008E45CB"/>
    <w:rsid w:val="008E483E"/>
    <w:rsid w:val="008E4A0E"/>
    <w:rsid w:val="008E4C42"/>
    <w:rsid w:val="008E56F9"/>
    <w:rsid w:val="008E5841"/>
    <w:rsid w:val="008E5B7F"/>
    <w:rsid w:val="008E602F"/>
    <w:rsid w:val="008E61DC"/>
    <w:rsid w:val="008E61F7"/>
    <w:rsid w:val="008E7073"/>
    <w:rsid w:val="008E70CC"/>
    <w:rsid w:val="008E74B9"/>
    <w:rsid w:val="008E78EA"/>
    <w:rsid w:val="008F0374"/>
    <w:rsid w:val="008F0529"/>
    <w:rsid w:val="008F07CD"/>
    <w:rsid w:val="008F0C42"/>
    <w:rsid w:val="008F0D86"/>
    <w:rsid w:val="008F0F03"/>
    <w:rsid w:val="008F1560"/>
    <w:rsid w:val="008F17FA"/>
    <w:rsid w:val="008F1CB5"/>
    <w:rsid w:val="008F1DDF"/>
    <w:rsid w:val="008F223F"/>
    <w:rsid w:val="008F276C"/>
    <w:rsid w:val="008F2850"/>
    <w:rsid w:val="008F297B"/>
    <w:rsid w:val="008F29E8"/>
    <w:rsid w:val="008F338F"/>
    <w:rsid w:val="008F401F"/>
    <w:rsid w:val="008F48A6"/>
    <w:rsid w:val="008F4E18"/>
    <w:rsid w:val="008F4F63"/>
    <w:rsid w:val="008F5276"/>
    <w:rsid w:val="008F57EE"/>
    <w:rsid w:val="008F6B5F"/>
    <w:rsid w:val="008F6C42"/>
    <w:rsid w:val="008F703E"/>
    <w:rsid w:val="008F772F"/>
    <w:rsid w:val="008F7760"/>
    <w:rsid w:val="008F7BC4"/>
    <w:rsid w:val="008F7C00"/>
    <w:rsid w:val="0090006B"/>
    <w:rsid w:val="00900E18"/>
    <w:rsid w:val="0090117E"/>
    <w:rsid w:val="00901D51"/>
    <w:rsid w:val="0090215A"/>
    <w:rsid w:val="009034C6"/>
    <w:rsid w:val="00903A28"/>
    <w:rsid w:val="00903AA8"/>
    <w:rsid w:val="00903C9C"/>
    <w:rsid w:val="00903D92"/>
    <w:rsid w:val="00903FB5"/>
    <w:rsid w:val="00904429"/>
    <w:rsid w:val="00904E82"/>
    <w:rsid w:val="00905092"/>
    <w:rsid w:val="00905B6B"/>
    <w:rsid w:val="009062BE"/>
    <w:rsid w:val="009063C3"/>
    <w:rsid w:val="00906944"/>
    <w:rsid w:val="0090694A"/>
    <w:rsid w:val="009076C6"/>
    <w:rsid w:val="009078FC"/>
    <w:rsid w:val="00910869"/>
    <w:rsid w:val="00910B20"/>
    <w:rsid w:val="00910B2B"/>
    <w:rsid w:val="00910C9F"/>
    <w:rsid w:val="009111EB"/>
    <w:rsid w:val="009117B2"/>
    <w:rsid w:val="00911A47"/>
    <w:rsid w:val="0091250A"/>
    <w:rsid w:val="00912B3F"/>
    <w:rsid w:val="00912E91"/>
    <w:rsid w:val="009133EA"/>
    <w:rsid w:val="00913431"/>
    <w:rsid w:val="00913559"/>
    <w:rsid w:val="009135D6"/>
    <w:rsid w:val="00913AAD"/>
    <w:rsid w:val="00913B7E"/>
    <w:rsid w:val="009149DF"/>
    <w:rsid w:val="00914BC5"/>
    <w:rsid w:val="0091501F"/>
    <w:rsid w:val="0091511B"/>
    <w:rsid w:val="0091553A"/>
    <w:rsid w:val="00916561"/>
    <w:rsid w:val="00916D28"/>
    <w:rsid w:val="00916E54"/>
    <w:rsid w:val="00917027"/>
    <w:rsid w:val="00917070"/>
    <w:rsid w:val="0091736E"/>
    <w:rsid w:val="009175A3"/>
    <w:rsid w:val="00917901"/>
    <w:rsid w:val="00917B02"/>
    <w:rsid w:val="00917C5C"/>
    <w:rsid w:val="0092033A"/>
    <w:rsid w:val="00920C04"/>
    <w:rsid w:val="00920CE7"/>
    <w:rsid w:val="009219CB"/>
    <w:rsid w:val="00921FB7"/>
    <w:rsid w:val="0092228F"/>
    <w:rsid w:val="00922816"/>
    <w:rsid w:val="0092293D"/>
    <w:rsid w:val="00922D14"/>
    <w:rsid w:val="00923488"/>
    <w:rsid w:val="00923B51"/>
    <w:rsid w:val="00923D5A"/>
    <w:rsid w:val="00923DA7"/>
    <w:rsid w:val="00923E0C"/>
    <w:rsid w:val="0092407F"/>
    <w:rsid w:val="00924290"/>
    <w:rsid w:val="0092491F"/>
    <w:rsid w:val="00924C57"/>
    <w:rsid w:val="00925023"/>
    <w:rsid w:val="0092515F"/>
    <w:rsid w:val="009252D3"/>
    <w:rsid w:val="0092571D"/>
    <w:rsid w:val="009259BA"/>
    <w:rsid w:val="00925C3E"/>
    <w:rsid w:val="00925E7F"/>
    <w:rsid w:val="00927449"/>
    <w:rsid w:val="009275DC"/>
    <w:rsid w:val="0092793E"/>
    <w:rsid w:val="00930034"/>
    <w:rsid w:val="00930332"/>
    <w:rsid w:val="009303B4"/>
    <w:rsid w:val="00930881"/>
    <w:rsid w:val="00930B3D"/>
    <w:rsid w:val="009312F8"/>
    <w:rsid w:val="009314F1"/>
    <w:rsid w:val="00931D04"/>
    <w:rsid w:val="00931D3E"/>
    <w:rsid w:val="00931ECB"/>
    <w:rsid w:val="00931F7D"/>
    <w:rsid w:val="00932352"/>
    <w:rsid w:val="00932460"/>
    <w:rsid w:val="0093279B"/>
    <w:rsid w:val="00932901"/>
    <w:rsid w:val="00932DAC"/>
    <w:rsid w:val="009336AB"/>
    <w:rsid w:val="00933716"/>
    <w:rsid w:val="00933B20"/>
    <w:rsid w:val="0093442A"/>
    <w:rsid w:val="009347C4"/>
    <w:rsid w:val="00935BDA"/>
    <w:rsid w:val="00936D12"/>
    <w:rsid w:val="00937E88"/>
    <w:rsid w:val="00937F7E"/>
    <w:rsid w:val="00941ED0"/>
    <w:rsid w:val="00942149"/>
    <w:rsid w:val="009421C4"/>
    <w:rsid w:val="009421FB"/>
    <w:rsid w:val="00942B44"/>
    <w:rsid w:val="0094317E"/>
    <w:rsid w:val="0094372F"/>
    <w:rsid w:val="00943DE6"/>
    <w:rsid w:val="00943FC2"/>
    <w:rsid w:val="00944641"/>
    <w:rsid w:val="00944AB5"/>
    <w:rsid w:val="009458D3"/>
    <w:rsid w:val="00945B41"/>
    <w:rsid w:val="00946ADF"/>
    <w:rsid w:val="00947ED5"/>
    <w:rsid w:val="0095006D"/>
    <w:rsid w:val="00950312"/>
    <w:rsid w:val="00950626"/>
    <w:rsid w:val="00950BA5"/>
    <w:rsid w:val="00950FA1"/>
    <w:rsid w:val="00951453"/>
    <w:rsid w:val="00952134"/>
    <w:rsid w:val="0095237B"/>
    <w:rsid w:val="00952968"/>
    <w:rsid w:val="00952DC6"/>
    <w:rsid w:val="00953B52"/>
    <w:rsid w:val="00954035"/>
    <w:rsid w:val="0095416F"/>
    <w:rsid w:val="0095449F"/>
    <w:rsid w:val="00954607"/>
    <w:rsid w:val="009551BD"/>
    <w:rsid w:val="0095538F"/>
    <w:rsid w:val="00955659"/>
    <w:rsid w:val="00955AF6"/>
    <w:rsid w:val="00955BFF"/>
    <w:rsid w:val="00955F22"/>
    <w:rsid w:val="009564A7"/>
    <w:rsid w:val="009568F0"/>
    <w:rsid w:val="00956A60"/>
    <w:rsid w:val="00956C79"/>
    <w:rsid w:val="009570DC"/>
    <w:rsid w:val="00957397"/>
    <w:rsid w:val="00957A0B"/>
    <w:rsid w:val="00957B4D"/>
    <w:rsid w:val="00957EC3"/>
    <w:rsid w:val="00960175"/>
    <w:rsid w:val="00960545"/>
    <w:rsid w:val="0096070E"/>
    <w:rsid w:val="00960F3C"/>
    <w:rsid w:val="00961634"/>
    <w:rsid w:val="00961850"/>
    <w:rsid w:val="00961953"/>
    <w:rsid w:val="009619B1"/>
    <w:rsid w:val="00961C06"/>
    <w:rsid w:val="009621D7"/>
    <w:rsid w:val="00962437"/>
    <w:rsid w:val="0096265D"/>
    <w:rsid w:val="009626E3"/>
    <w:rsid w:val="009627BC"/>
    <w:rsid w:val="00962A25"/>
    <w:rsid w:val="00962B0A"/>
    <w:rsid w:val="0096300E"/>
    <w:rsid w:val="0096354A"/>
    <w:rsid w:val="00963A8B"/>
    <w:rsid w:val="00963EB5"/>
    <w:rsid w:val="009653D6"/>
    <w:rsid w:val="009654D5"/>
    <w:rsid w:val="0096575E"/>
    <w:rsid w:val="00966104"/>
    <w:rsid w:val="009661B5"/>
    <w:rsid w:val="009663E7"/>
    <w:rsid w:val="009663FB"/>
    <w:rsid w:val="009666A7"/>
    <w:rsid w:val="00966F22"/>
    <w:rsid w:val="009673A4"/>
    <w:rsid w:val="009673C7"/>
    <w:rsid w:val="0097048D"/>
    <w:rsid w:val="00971D2B"/>
    <w:rsid w:val="00971EBE"/>
    <w:rsid w:val="009720BA"/>
    <w:rsid w:val="009722AD"/>
    <w:rsid w:val="00972718"/>
    <w:rsid w:val="0097292C"/>
    <w:rsid w:val="00972ACD"/>
    <w:rsid w:val="00973029"/>
    <w:rsid w:val="009735A4"/>
    <w:rsid w:val="009735AF"/>
    <w:rsid w:val="00973A2F"/>
    <w:rsid w:val="00973C43"/>
    <w:rsid w:val="00973E7F"/>
    <w:rsid w:val="00974626"/>
    <w:rsid w:val="00974A21"/>
    <w:rsid w:val="00974B8B"/>
    <w:rsid w:val="00974D15"/>
    <w:rsid w:val="009752DD"/>
    <w:rsid w:val="00976100"/>
    <w:rsid w:val="009765E6"/>
    <w:rsid w:val="009767D1"/>
    <w:rsid w:val="00976DCC"/>
    <w:rsid w:val="0097701A"/>
    <w:rsid w:val="0097753A"/>
    <w:rsid w:val="0097758E"/>
    <w:rsid w:val="00977987"/>
    <w:rsid w:val="00977BE7"/>
    <w:rsid w:val="00977E3C"/>
    <w:rsid w:val="0098068B"/>
    <w:rsid w:val="009807E9"/>
    <w:rsid w:val="00981A5A"/>
    <w:rsid w:val="00981ABE"/>
    <w:rsid w:val="00981FCE"/>
    <w:rsid w:val="009821C9"/>
    <w:rsid w:val="00982217"/>
    <w:rsid w:val="00982625"/>
    <w:rsid w:val="00982755"/>
    <w:rsid w:val="009833BD"/>
    <w:rsid w:val="009833D8"/>
    <w:rsid w:val="009837B2"/>
    <w:rsid w:val="00984757"/>
    <w:rsid w:val="0098483B"/>
    <w:rsid w:val="009849C2"/>
    <w:rsid w:val="00984A5F"/>
    <w:rsid w:val="00984ECC"/>
    <w:rsid w:val="00984ED7"/>
    <w:rsid w:val="00985327"/>
    <w:rsid w:val="009853DD"/>
    <w:rsid w:val="00985412"/>
    <w:rsid w:val="00985750"/>
    <w:rsid w:val="00985B25"/>
    <w:rsid w:val="00985BA1"/>
    <w:rsid w:val="00985D4E"/>
    <w:rsid w:val="00985D7C"/>
    <w:rsid w:val="00987336"/>
    <w:rsid w:val="0099099C"/>
    <w:rsid w:val="00990D47"/>
    <w:rsid w:val="00991064"/>
    <w:rsid w:val="0099162B"/>
    <w:rsid w:val="00991698"/>
    <w:rsid w:val="00991919"/>
    <w:rsid w:val="00991A4B"/>
    <w:rsid w:val="00991E2D"/>
    <w:rsid w:val="00992333"/>
    <w:rsid w:val="009928A8"/>
    <w:rsid w:val="00993EB5"/>
    <w:rsid w:val="00994D5B"/>
    <w:rsid w:val="00994DA0"/>
    <w:rsid w:val="00994EE7"/>
    <w:rsid w:val="0099583D"/>
    <w:rsid w:val="00996091"/>
    <w:rsid w:val="009964BB"/>
    <w:rsid w:val="00996772"/>
    <w:rsid w:val="00996796"/>
    <w:rsid w:val="00996BD9"/>
    <w:rsid w:val="0099702B"/>
    <w:rsid w:val="00997543"/>
    <w:rsid w:val="009975B6"/>
    <w:rsid w:val="009A0230"/>
    <w:rsid w:val="009A0875"/>
    <w:rsid w:val="009A12C3"/>
    <w:rsid w:val="009A135F"/>
    <w:rsid w:val="009A1471"/>
    <w:rsid w:val="009A16D2"/>
    <w:rsid w:val="009A1C51"/>
    <w:rsid w:val="009A1C94"/>
    <w:rsid w:val="009A2AA7"/>
    <w:rsid w:val="009A2F32"/>
    <w:rsid w:val="009A3432"/>
    <w:rsid w:val="009A3A58"/>
    <w:rsid w:val="009A43F3"/>
    <w:rsid w:val="009A44F4"/>
    <w:rsid w:val="009A46BF"/>
    <w:rsid w:val="009A485C"/>
    <w:rsid w:val="009A4FAE"/>
    <w:rsid w:val="009A56EF"/>
    <w:rsid w:val="009A5E72"/>
    <w:rsid w:val="009A64A5"/>
    <w:rsid w:val="009A707D"/>
    <w:rsid w:val="009A7505"/>
    <w:rsid w:val="009A7982"/>
    <w:rsid w:val="009A798A"/>
    <w:rsid w:val="009B072A"/>
    <w:rsid w:val="009B09C5"/>
    <w:rsid w:val="009B0A7F"/>
    <w:rsid w:val="009B0FEE"/>
    <w:rsid w:val="009B1989"/>
    <w:rsid w:val="009B1A66"/>
    <w:rsid w:val="009B1ABE"/>
    <w:rsid w:val="009B207F"/>
    <w:rsid w:val="009B2C54"/>
    <w:rsid w:val="009B3C16"/>
    <w:rsid w:val="009B3C6E"/>
    <w:rsid w:val="009B4266"/>
    <w:rsid w:val="009B448E"/>
    <w:rsid w:val="009B479E"/>
    <w:rsid w:val="009B4CA5"/>
    <w:rsid w:val="009B4D61"/>
    <w:rsid w:val="009B4E42"/>
    <w:rsid w:val="009B5789"/>
    <w:rsid w:val="009B61AF"/>
    <w:rsid w:val="009B6849"/>
    <w:rsid w:val="009B770F"/>
    <w:rsid w:val="009B7E27"/>
    <w:rsid w:val="009B7E4A"/>
    <w:rsid w:val="009C02E6"/>
    <w:rsid w:val="009C03E8"/>
    <w:rsid w:val="009C0BBC"/>
    <w:rsid w:val="009C0D7C"/>
    <w:rsid w:val="009C15AC"/>
    <w:rsid w:val="009C1F54"/>
    <w:rsid w:val="009C21BA"/>
    <w:rsid w:val="009C21BF"/>
    <w:rsid w:val="009C234A"/>
    <w:rsid w:val="009C2556"/>
    <w:rsid w:val="009C2911"/>
    <w:rsid w:val="009C2B41"/>
    <w:rsid w:val="009C2E5D"/>
    <w:rsid w:val="009C34AF"/>
    <w:rsid w:val="009C36EC"/>
    <w:rsid w:val="009C39CA"/>
    <w:rsid w:val="009C39D7"/>
    <w:rsid w:val="009C3CE0"/>
    <w:rsid w:val="009C4D21"/>
    <w:rsid w:val="009C51A4"/>
    <w:rsid w:val="009C551F"/>
    <w:rsid w:val="009C5C71"/>
    <w:rsid w:val="009C602B"/>
    <w:rsid w:val="009C62CC"/>
    <w:rsid w:val="009C64F6"/>
    <w:rsid w:val="009C66EC"/>
    <w:rsid w:val="009C6E5F"/>
    <w:rsid w:val="009C745B"/>
    <w:rsid w:val="009C793F"/>
    <w:rsid w:val="009C7A7F"/>
    <w:rsid w:val="009C7BF0"/>
    <w:rsid w:val="009D034E"/>
    <w:rsid w:val="009D0485"/>
    <w:rsid w:val="009D0C34"/>
    <w:rsid w:val="009D139A"/>
    <w:rsid w:val="009D164B"/>
    <w:rsid w:val="009D16ED"/>
    <w:rsid w:val="009D171F"/>
    <w:rsid w:val="009D176B"/>
    <w:rsid w:val="009D1B23"/>
    <w:rsid w:val="009D2CD7"/>
    <w:rsid w:val="009D3B03"/>
    <w:rsid w:val="009D416D"/>
    <w:rsid w:val="009D4ABE"/>
    <w:rsid w:val="009D5495"/>
    <w:rsid w:val="009D570D"/>
    <w:rsid w:val="009D58C3"/>
    <w:rsid w:val="009D5B5C"/>
    <w:rsid w:val="009D5E49"/>
    <w:rsid w:val="009D67BA"/>
    <w:rsid w:val="009D6E49"/>
    <w:rsid w:val="009D718D"/>
    <w:rsid w:val="009D7455"/>
    <w:rsid w:val="009D769A"/>
    <w:rsid w:val="009D7C2E"/>
    <w:rsid w:val="009D7F16"/>
    <w:rsid w:val="009E02F5"/>
    <w:rsid w:val="009E062B"/>
    <w:rsid w:val="009E064C"/>
    <w:rsid w:val="009E0A95"/>
    <w:rsid w:val="009E0C27"/>
    <w:rsid w:val="009E0D8B"/>
    <w:rsid w:val="009E11E8"/>
    <w:rsid w:val="009E13AC"/>
    <w:rsid w:val="009E13FE"/>
    <w:rsid w:val="009E2304"/>
    <w:rsid w:val="009E276E"/>
    <w:rsid w:val="009E2F8A"/>
    <w:rsid w:val="009E33F3"/>
    <w:rsid w:val="009E3BE9"/>
    <w:rsid w:val="009E3D4E"/>
    <w:rsid w:val="009E40AF"/>
    <w:rsid w:val="009E4292"/>
    <w:rsid w:val="009E4C9A"/>
    <w:rsid w:val="009E5177"/>
    <w:rsid w:val="009E5719"/>
    <w:rsid w:val="009E578C"/>
    <w:rsid w:val="009E70E3"/>
    <w:rsid w:val="009E74F4"/>
    <w:rsid w:val="009E79C9"/>
    <w:rsid w:val="009E7BA0"/>
    <w:rsid w:val="009F000B"/>
    <w:rsid w:val="009F0A13"/>
    <w:rsid w:val="009F1806"/>
    <w:rsid w:val="009F21FF"/>
    <w:rsid w:val="009F28C3"/>
    <w:rsid w:val="009F28DC"/>
    <w:rsid w:val="009F3185"/>
    <w:rsid w:val="009F37E1"/>
    <w:rsid w:val="009F3914"/>
    <w:rsid w:val="009F3A26"/>
    <w:rsid w:val="009F3BDF"/>
    <w:rsid w:val="009F42CC"/>
    <w:rsid w:val="009F4435"/>
    <w:rsid w:val="009F443F"/>
    <w:rsid w:val="009F4812"/>
    <w:rsid w:val="009F4863"/>
    <w:rsid w:val="009F490D"/>
    <w:rsid w:val="009F4B9F"/>
    <w:rsid w:val="009F516C"/>
    <w:rsid w:val="009F544F"/>
    <w:rsid w:val="009F55B9"/>
    <w:rsid w:val="009F58CC"/>
    <w:rsid w:val="009F58CE"/>
    <w:rsid w:val="009F5B80"/>
    <w:rsid w:val="009F65E2"/>
    <w:rsid w:val="009F6CEB"/>
    <w:rsid w:val="009F7009"/>
    <w:rsid w:val="009F70A9"/>
    <w:rsid w:val="009F7B59"/>
    <w:rsid w:val="00A0009F"/>
    <w:rsid w:val="00A009DA"/>
    <w:rsid w:val="00A00DC9"/>
    <w:rsid w:val="00A00E9C"/>
    <w:rsid w:val="00A01053"/>
    <w:rsid w:val="00A015DC"/>
    <w:rsid w:val="00A020E2"/>
    <w:rsid w:val="00A0380C"/>
    <w:rsid w:val="00A03A87"/>
    <w:rsid w:val="00A044F3"/>
    <w:rsid w:val="00A04C02"/>
    <w:rsid w:val="00A05227"/>
    <w:rsid w:val="00A058E2"/>
    <w:rsid w:val="00A05973"/>
    <w:rsid w:val="00A05A0B"/>
    <w:rsid w:val="00A05AC4"/>
    <w:rsid w:val="00A062CA"/>
    <w:rsid w:val="00A06980"/>
    <w:rsid w:val="00A07E26"/>
    <w:rsid w:val="00A10933"/>
    <w:rsid w:val="00A10A68"/>
    <w:rsid w:val="00A1137A"/>
    <w:rsid w:val="00A11782"/>
    <w:rsid w:val="00A11B16"/>
    <w:rsid w:val="00A12F39"/>
    <w:rsid w:val="00A1338E"/>
    <w:rsid w:val="00A143C7"/>
    <w:rsid w:val="00A146F8"/>
    <w:rsid w:val="00A14CA7"/>
    <w:rsid w:val="00A14FF8"/>
    <w:rsid w:val="00A154AE"/>
    <w:rsid w:val="00A155EF"/>
    <w:rsid w:val="00A15AEB"/>
    <w:rsid w:val="00A15D9F"/>
    <w:rsid w:val="00A16020"/>
    <w:rsid w:val="00A16164"/>
    <w:rsid w:val="00A162E9"/>
    <w:rsid w:val="00A16743"/>
    <w:rsid w:val="00A16C16"/>
    <w:rsid w:val="00A1710C"/>
    <w:rsid w:val="00A173A5"/>
    <w:rsid w:val="00A17A67"/>
    <w:rsid w:val="00A20023"/>
    <w:rsid w:val="00A20124"/>
    <w:rsid w:val="00A20578"/>
    <w:rsid w:val="00A21526"/>
    <w:rsid w:val="00A217D7"/>
    <w:rsid w:val="00A21A89"/>
    <w:rsid w:val="00A21CA6"/>
    <w:rsid w:val="00A22443"/>
    <w:rsid w:val="00A22755"/>
    <w:rsid w:val="00A22C8F"/>
    <w:rsid w:val="00A23748"/>
    <w:rsid w:val="00A23D88"/>
    <w:rsid w:val="00A23EE2"/>
    <w:rsid w:val="00A24023"/>
    <w:rsid w:val="00A2423A"/>
    <w:rsid w:val="00A246C5"/>
    <w:rsid w:val="00A24D25"/>
    <w:rsid w:val="00A24EC4"/>
    <w:rsid w:val="00A24F2D"/>
    <w:rsid w:val="00A24F40"/>
    <w:rsid w:val="00A25186"/>
    <w:rsid w:val="00A25296"/>
    <w:rsid w:val="00A256C8"/>
    <w:rsid w:val="00A258F4"/>
    <w:rsid w:val="00A25B96"/>
    <w:rsid w:val="00A26212"/>
    <w:rsid w:val="00A26661"/>
    <w:rsid w:val="00A266F7"/>
    <w:rsid w:val="00A26982"/>
    <w:rsid w:val="00A26EF6"/>
    <w:rsid w:val="00A27335"/>
    <w:rsid w:val="00A27F00"/>
    <w:rsid w:val="00A30009"/>
    <w:rsid w:val="00A30013"/>
    <w:rsid w:val="00A32B7B"/>
    <w:rsid w:val="00A32D99"/>
    <w:rsid w:val="00A32F6B"/>
    <w:rsid w:val="00A33833"/>
    <w:rsid w:val="00A33D92"/>
    <w:rsid w:val="00A346C2"/>
    <w:rsid w:val="00A34F85"/>
    <w:rsid w:val="00A3563A"/>
    <w:rsid w:val="00A366A0"/>
    <w:rsid w:val="00A36745"/>
    <w:rsid w:val="00A3697B"/>
    <w:rsid w:val="00A36BCE"/>
    <w:rsid w:val="00A36C30"/>
    <w:rsid w:val="00A37419"/>
    <w:rsid w:val="00A37985"/>
    <w:rsid w:val="00A37DC2"/>
    <w:rsid w:val="00A401FB"/>
    <w:rsid w:val="00A40405"/>
    <w:rsid w:val="00A40DB2"/>
    <w:rsid w:val="00A41014"/>
    <w:rsid w:val="00A41071"/>
    <w:rsid w:val="00A42490"/>
    <w:rsid w:val="00A42F0A"/>
    <w:rsid w:val="00A42FD2"/>
    <w:rsid w:val="00A43CC4"/>
    <w:rsid w:val="00A43D44"/>
    <w:rsid w:val="00A4406D"/>
    <w:rsid w:val="00A447E1"/>
    <w:rsid w:val="00A44908"/>
    <w:rsid w:val="00A44C9C"/>
    <w:rsid w:val="00A44F6E"/>
    <w:rsid w:val="00A45DB5"/>
    <w:rsid w:val="00A468C0"/>
    <w:rsid w:val="00A46F0B"/>
    <w:rsid w:val="00A46FAA"/>
    <w:rsid w:val="00A477E7"/>
    <w:rsid w:val="00A479DB"/>
    <w:rsid w:val="00A50B80"/>
    <w:rsid w:val="00A50BF6"/>
    <w:rsid w:val="00A50E61"/>
    <w:rsid w:val="00A51947"/>
    <w:rsid w:val="00A519FB"/>
    <w:rsid w:val="00A52540"/>
    <w:rsid w:val="00A525B6"/>
    <w:rsid w:val="00A52F77"/>
    <w:rsid w:val="00A533AF"/>
    <w:rsid w:val="00A53418"/>
    <w:rsid w:val="00A53988"/>
    <w:rsid w:val="00A54245"/>
    <w:rsid w:val="00A54494"/>
    <w:rsid w:val="00A54701"/>
    <w:rsid w:val="00A5481C"/>
    <w:rsid w:val="00A54E1F"/>
    <w:rsid w:val="00A552FE"/>
    <w:rsid w:val="00A5604A"/>
    <w:rsid w:val="00A56114"/>
    <w:rsid w:val="00A57650"/>
    <w:rsid w:val="00A607B9"/>
    <w:rsid w:val="00A60806"/>
    <w:rsid w:val="00A6081A"/>
    <w:rsid w:val="00A61360"/>
    <w:rsid w:val="00A617A1"/>
    <w:rsid w:val="00A61FE2"/>
    <w:rsid w:val="00A6370E"/>
    <w:rsid w:val="00A63933"/>
    <w:rsid w:val="00A6401D"/>
    <w:rsid w:val="00A6402B"/>
    <w:rsid w:val="00A6412B"/>
    <w:rsid w:val="00A64A36"/>
    <w:rsid w:val="00A65009"/>
    <w:rsid w:val="00A6565E"/>
    <w:rsid w:val="00A663C5"/>
    <w:rsid w:val="00A66D54"/>
    <w:rsid w:val="00A67385"/>
    <w:rsid w:val="00A67B63"/>
    <w:rsid w:val="00A67D41"/>
    <w:rsid w:val="00A67E6E"/>
    <w:rsid w:val="00A707D0"/>
    <w:rsid w:val="00A711BC"/>
    <w:rsid w:val="00A718B4"/>
    <w:rsid w:val="00A71BF6"/>
    <w:rsid w:val="00A72519"/>
    <w:rsid w:val="00A72706"/>
    <w:rsid w:val="00A728E4"/>
    <w:rsid w:val="00A72A6A"/>
    <w:rsid w:val="00A72A8F"/>
    <w:rsid w:val="00A72C92"/>
    <w:rsid w:val="00A73281"/>
    <w:rsid w:val="00A733F0"/>
    <w:rsid w:val="00A73671"/>
    <w:rsid w:val="00A73B21"/>
    <w:rsid w:val="00A74565"/>
    <w:rsid w:val="00A74DA4"/>
    <w:rsid w:val="00A75602"/>
    <w:rsid w:val="00A759F1"/>
    <w:rsid w:val="00A75A8C"/>
    <w:rsid w:val="00A75DE3"/>
    <w:rsid w:val="00A75EEE"/>
    <w:rsid w:val="00A76726"/>
    <w:rsid w:val="00A775F0"/>
    <w:rsid w:val="00A80087"/>
    <w:rsid w:val="00A8044E"/>
    <w:rsid w:val="00A80914"/>
    <w:rsid w:val="00A80CA8"/>
    <w:rsid w:val="00A81674"/>
    <w:rsid w:val="00A81A50"/>
    <w:rsid w:val="00A81B28"/>
    <w:rsid w:val="00A81E8E"/>
    <w:rsid w:val="00A820CA"/>
    <w:rsid w:val="00A82491"/>
    <w:rsid w:val="00A8254E"/>
    <w:rsid w:val="00A82646"/>
    <w:rsid w:val="00A82B9E"/>
    <w:rsid w:val="00A8309B"/>
    <w:rsid w:val="00A831CB"/>
    <w:rsid w:val="00A842DF"/>
    <w:rsid w:val="00A84E2D"/>
    <w:rsid w:val="00A84F34"/>
    <w:rsid w:val="00A852CE"/>
    <w:rsid w:val="00A85340"/>
    <w:rsid w:val="00A8599D"/>
    <w:rsid w:val="00A85A51"/>
    <w:rsid w:val="00A86244"/>
    <w:rsid w:val="00A86397"/>
    <w:rsid w:val="00A86458"/>
    <w:rsid w:val="00A8686F"/>
    <w:rsid w:val="00A86A9D"/>
    <w:rsid w:val="00A86B20"/>
    <w:rsid w:val="00A86C5B"/>
    <w:rsid w:val="00A870D0"/>
    <w:rsid w:val="00A874D9"/>
    <w:rsid w:val="00A879A6"/>
    <w:rsid w:val="00A87D57"/>
    <w:rsid w:val="00A87FAA"/>
    <w:rsid w:val="00A90422"/>
    <w:rsid w:val="00A9065D"/>
    <w:rsid w:val="00A90E47"/>
    <w:rsid w:val="00A90E58"/>
    <w:rsid w:val="00A90EB0"/>
    <w:rsid w:val="00A90ED3"/>
    <w:rsid w:val="00A91320"/>
    <w:rsid w:val="00A91631"/>
    <w:rsid w:val="00A921BB"/>
    <w:rsid w:val="00A92211"/>
    <w:rsid w:val="00A93B68"/>
    <w:rsid w:val="00A93CCA"/>
    <w:rsid w:val="00A9440E"/>
    <w:rsid w:val="00A945E5"/>
    <w:rsid w:val="00A959D5"/>
    <w:rsid w:val="00A96689"/>
    <w:rsid w:val="00A9673E"/>
    <w:rsid w:val="00A96E39"/>
    <w:rsid w:val="00A96E6A"/>
    <w:rsid w:val="00A97A0B"/>
    <w:rsid w:val="00AA0157"/>
    <w:rsid w:val="00AA0229"/>
    <w:rsid w:val="00AA03C7"/>
    <w:rsid w:val="00AA086B"/>
    <w:rsid w:val="00AA0C2E"/>
    <w:rsid w:val="00AA0E49"/>
    <w:rsid w:val="00AA100E"/>
    <w:rsid w:val="00AA11CC"/>
    <w:rsid w:val="00AA1C1F"/>
    <w:rsid w:val="00AA1FB8"/>
    <w:rsid w:val="00AA202D"/>
    <w:rsid w:val="00AA32B8"/>
    <w:rsid w:val="00AA3B45"/>
    <w:rsid w:val="00AA3C6F"/>
    <w:rsid w:val="00AA3D14"/>
    <w:rsid w:val="00AA451C"/>
    <w:rsid w:val="00AA50E7"/>
    <w:rsid w:val="00AA56EE"/>
    <w:rsid w:val="00AA5C09"/>
    <w:rsid w:val="00AA60CE"/>
    <w:rsid w:val="00AA7012"/>
    <w:rsid w:val="00AA7320"/>
    <w:rsid w:val="00AA7798"/>
    <w:rsid w:val="00AB01D3"/>
    <w:rsid w:val="00AB1204"/>
    <w:rsid w:val="00AB13A0"/>
    <w:rsid w:val="00AB1865"/>
    <w:rsid w:val="00AB1EBE"/>
    <w:rsid w:val="00AB1ED5"/>
    <w:rsid w:val="00AB1FEF"/>
    <w:rsid w:val="00AB20DE"/>
    <w:rsid w:val="00AB2461"/>
    <w:rsid w:val="00AB2C74"/>
    <w:rsid w:val="00AB346D"/>
    <w:rsid w:val="00AB3D2E"/>
    <w:rsid w:val="00AB44BD"/>
    <w:rsid w:val="00AB4B81"/>
    <w:rsid w:val="00AB507B"/>
    <w:rsid w:val="00AB52B2"/>
    <w:rsid w:val="00AB592F"/>
    <w:rsid w:val="00AB5B58"/>
    <w:rsid w:val="00AB5BA7"/>
    <w:rsid w:val="00AB5E67"/>
    <w:rsid w:val="00AB5FE9"/>
    <w:rsid w:val="00AB615F"/>
    <w:rsid w:val="00AB633D"/>
    <w:rsid w:val="00AB6409"/>
    <w:rsid w:val="00AB643E"/>
    <w:rsid w:val="00AB69AA"/>
    <w:rsid w:val="00AB738D"/>
    <w:rsid w:val="00AB7BA2"/>
    <w:rsid w:val="00AB7BC7"/>
    <w:rsid w:val="00AB7E78"/>
    <w:rsid w:val="00AC0121"/>
    <w:rsid w:val="00AC01BC"/>
    <w:rsid w:val="00AC1506"/>
    <w:rsid w:val="00AC1600"/>
    <w:rsid w:val="00AC21E4"/>
    <w:rsid w:val="00AC251C"/>
    <w:rsid w:val="00AC2639"/>
    <w:rsid w:val="00AC264F"/>
    <w:rsid w:val="00AC2EA5"/>
    <w:rsid w:val="00AC3849"/>
    <w:rsid w:val="00AC39A5"/>
    <w:rsid w:val="00AC3C92"/>
    <w:rsid w:val="00AC3D3F"/>
    <w:rsid w:val="00AC45C7"/>
    <w:rsid w:val="00AC4841"/>
    <w:rsid w:val="00AC4AF5"/>
    <w:rsid w:val="00AC4B9A"/>
    <w:rsid w:val="00AC4FCD"/>
    <w:rsid w:val="00AC5874"/>
    <w:rsid w:val="00AC644D"/>
    <w:rsid w:val="00AC6899"/>
    <w:rsid w:val="00AC6B37"/>
    <w:rsid w:val="00AC6DE0"/>
    <w:rsid w:val="00AC6E57"/>
    <w:rsid w:val="00AC72E8"/>
    <w:rsid w:val="00AC770F"/>
    <w:rsid w:val="00AC7FAB"/>
    <w:rsid w:val="00AD0082"/>
    <w:rsid w:val="00AD067F"/>
    <w:rsid w:val="00AD0744"/>
    <w:rsid w:val="00AD0810"/>
    <w:rsid w:val="00AD0C8D"/>
    <w:rsid w:val="00AD0F27"/>
    <w:rsid w:val="00AD0F35"/>
    <w:rsid w:val="00AD1C48"/>
    <w:rsid w:val="00AD2383"/>
    <w:rsid w:val="00AD33D4"/>
    <w:rsid w:val="00AD3654"/>
    <w:rsid w:val="00AD37E5"/>
    <w:rsid w:val="00AD458F"/>
    <w:rsid w:val="00AD4719"/>
    <w:rsid w:val="00AD4A33"/>
    <w:rsid w:val="00AD4CB1"/>
    <w:rsid w:val="00AD4D6D"/>
    <w:rsid w:val="00AD543B"/>
    <w:rsid w:val="00AD56C2"/>
    <w:rsid w:val="00AD5782"/>
    <w:rsid w:val="00AD5BB4"/>
    <w:rsid w:val="00AD5BDA"/>
    <w:rsid w:val="00AD6572"/>
    <w:rsid w:val="00AD695C"/>
    <w:rsid w:val="00AD6E9A"/>
    <w:rsid w:val="00AD6F7E"/>
    <w:rsid w:val="00AD7B47"/>
    <w:rsid w:val="00AE00A2"/>
    <w:rsid w:val="00AE01B4"/>
    <w:rsid w:val="00AE2F2F"/>
    <w:rsid w:val="00AE315C"/>
    <w:rsid w:val="00AE317C"/>
    <w:rsid w:val="00AE37AD"/>
    <w:rsid w:val="00AE3BB3"/>
    <w:rsid w:val="00AE440E"/>
    <w:rsid w:val="00AE49D5"/>
    <w:rsid w:val="00AE4C2A"/>
    <w:rsid w:val="00AE611B"/>
    <w:rsid w:val="00AE62F4"/>
    <w:rsid w:val="00AE6502"/>
    <w:rsid w:val="00AE6569"/>
    <w:rsid w:val="00AE65C5"/>
    <w:rsid w:val="00AE6F9D"/>
    <w:rsid w:val="00AE6FB2"/>
    <w:rsid w:val="00AF0AF4"/>
    <w:rsid w:val="00AF0F86"/>
    <w:rsid w:val="00AF1052"/>
    <w:rsid w:val="00AF19F3"/>
    <w:rsid w:val="00AF1B1C"/>
    <w:rsid w:val="00AF1F85"/>
    <w:rsid w:val="00AF231A"/>
    <w:rsid w:val="00AF2546"/>
    <w:rsid w:val="00AF2B4E"/>
    <w:rsid w:val="00AF35F4"/>
    <w:rsid w:val="00AF3DBB"/>
    <w:rsid w:val="00AF4618"/>
    <w:rsid w:val="00AF4AE7"/>
    <w:rsid w:val="00AF4F3E"/>
    <w:rsid w:val="00AF52B1"/>
    <w:rsid w:val="00AF6229"/>
    <w:rsid w:val="00AF6318"/>
    <w:rsid w:val="00AF65D0"/>
    <w:rsid w:val="00AF6693"/>
    <w:rsid w:val="00AF685C"/>
    <w:rsid w:val="00AF70E9"/>
    <w:rsid w:val="00AF72E5"/>
    <w:rsid w:val="00AF73A2"/>
    <w:rsid w:val="00AF75E5"/>
    <w:rsid w:val="00AF7CC4"/>
    <w:rsid w:val="00B0063E"/>
    <w:rsid w:val="00B007DB"/>
    <w:rsid w:val="00B00DF5"/>
    <w:rsid w:val="00B00F63"/>
    <w:rsid w:val="00B01C6B"/>
    <w:rsid w:val="00B022AF"/>
    <w:rsid w:val="00B033D0"/>
    <w:rsid w:val="00B03AE5"/>
    <w:rsid w:val="00B03E0B"/>
    <w:rsid w:val="00B045A9"/>
    <w:rsid w:val="00B045D6"/>
    <w:rsid w:val="00B054C6"/>
    <w:rsid w:val="00B0551C"/>
    <w:rsid w:val="00B05EEE"/>
    <w:rsid w:val="00B05F30"/>
    <w:rsid w:val="00B06394"/>
    <w:rsid w:val="00B06A1B"/>
    <w:rsid w:val="00B0755C"/>
    <w:rsid w:val="00B076C5"/>
    <w:rsid w:val="00B07EAE"/>
    <w:rsid w:val="00B1064F"/>
    <w:rsid w:val="00B1077D"/>
    <w:rsid w:val="00B10811"/>
    <w:rsid w:val="00B10B7E"/>
    <w:rsid w:val="00B11423"/>
    <w:rsid w:val="00B11841"/>
    <w:rsid w:val="00B11BD0"/>
    <w:rsid w:val="00B120F9"/>
    <w:rsid w:val="00B12D75"/>
    <w:rsid w:val="00B13E18"/>
    <w:rsid w:val="00B13E3A"/>
    <w:rsid w:val="00B14537"/>
    <w:rsid w:val="00B1471D"/>
    <w:rsid w:val="00B1487F"/>
    <w:rsid w:val="00B15319"/>
    <w:rsid w:val="00B1620D"/>
    <w:rsid w:val="00B17327"/>
    <w:rsid w:val="00B201D3"/>
    <w:rsid w:val="00B203E6"/>
    <w:rsid w:val="00B2049A"/>
    <w:rsid w:val="00B204A5"/>
    <w:rsid w:val="00B20722"/>
    <w:rsid w:val="00B2083B"/>
    <w:rsid w:val="00B20F9F"/>
    <w:rsid w:val="00B21A3A"/>
    <w:rsid w:val="00B21B4C"/>
    <w:rsid w:val="00B21CD4"/>
    <w:rsid w:val="00B21F41"/>
    <w:rsid w:val="00B2217D"/>
    <w:rsid w:val="00B2225A"/>
    <w:rsid w:val="00B23003"/>
    <w:rsid w:val="00B23535"/>
    <w:rsid w:val="00B2381E"/>
    <w:rsid w:val="00B2395D"/>
    <w:rsid w:val="00B23FF2"/>
    <w:rsid w:val="00B24748"/>
    <w:rsid w:val="00B252E6"/>
    <w:rsid w:val="00B25D5E"/>
    <w:rsid w:val="00B26057"/>
    <w:rsid w:val="00B26076"/>
    <w:rsid w:val="00B2616C"/>
    <w:rsid w:val="00B26189"/>
    <w:rsid w:val="00B261A0"/>
    <w:rsid w:val="00B26275"/>
    <w:rsid w:val="00B26763"/>
    <w:rsid w:val="00B2756A"/>
    <w:rsid w:val="00B275C8"/>
    <w:rsid w:val="00B27640"/>
    <w:rsid w:val="00B27BC7"/>
    <w:rsid w:val="00B30207"/>
    <w:rsid w:val="00B304F3"/>
    <w:rsid w:val="00B3093D"/>
    <w:rsid w:val="00B30A97"/>
    <w:rsid w:val="00B30B61"/>
    <w:rsid w:val="00B30BE1"/>
    <w:rsid w:val="00B30DE5"/>
    <w:rsid w:val="00B30FA2"/>
    <w:rsid w:val="00B311F7"/>
    <w:rsid w:val="00B31327"/>
    <w:rsid w:val="00B31A53"/>
    <w:rsid w:val="00B32064"/>
    <w:rsid w:val="00B32148"/>
    <w:rsid w:val="00B32292"/>
    <w:rsid w:val="00B329E6"/>
    <w:rsid w:val="00B335A3"/>
    <w:rsid w:val="00B33B21"/>
    <w:rsid w:val="00B34982"/>
    <w:rsid w:val="00B354A7"/>
    <w:rsid w:val="00B354FB"/>
    <w:rsid w:val="00B359C7"/>
    <w:rsid w:val="00B3605C"/>
    <w:rsid w:val="00B3710D"/>
    <w:rsid w:val="00B37BF1"/>
    <w:rsid w:val="00B37FD3"/>
    <w:rsid w:val="00B4032C"/>
    <w:rsid w:val="00B40FD8"/>
    <w:rsid w:val="00B4230B"/>
    <w:rsid w:val="00B42371"/>
    <w:rsid w:val="00B4274D"/>
    <w:rsid w:val="00B435E7"/>
    <w:rsid w:val="00B4394B"/>
    <w:rsid w:val="00B43CB7"/>
    <w:rsid w:val="00B444E7"/>
    <w:rsid w:val="00B445A4"/>
    <w:rsid w:val="00B4474E"/>
    <w:rsid w:val="00B44835"/>
    <w:rsid w:val="00B4537E"/>
    <w:rsid w:val="00B456E1"/>
    <w:rsid w:val="00B459F6"/>
    <w:rsid w:val="00B45A0C"/>
    <w:rsid w:val="00B45DB9"/>
    <w:rsid w:val="00B4629B"/>
    <w:rsid w:val="00B46A75"/>
    <w:rsid w:val="00B47047"/>
    <w:rsid w:val="00B47360"/>
    <w:rsid w:val="00B4749A"/>
    <w:rsid w:val="00B474DB"/>
    <w:rsid w:val="00B475B6"/>
    <w:rsid w:val="00B47610"/>
    <w:rsid w:val="00B47FC4"/>
    <w:rsid w:val="00B501FD"/>
    <w:rsid w:val="00B5047C"/>
    <w:rsid w:val="00B50681"/>
    <w:rsid w:val="00B50AF5"/>
    <w:rsid w:val="00B50D09"/>
    <w:rsid w:val="00B50E45"/>
    <w:rsid w:val="00B50FE6"/>
    <w:rsid w:val="00B51371"/>
    <w:rsid w:val="00B5147F"/>
    <w:rsid w:val="00B51DF4"/>
    <w:rsid w:val="00B53789"/>
    <w:rsid w:val="00B539B4"/>
    <w:rsid w:val="00B542CF"/>
    <w:rsid w:val="00B54633"/>
    <w:rsid w:val="00B548D0"/>
    <w:rsid w:val="00B5492C"/>
    <w:rsid w:val="00B554CE"/>
    <w:rsid w:val="00B561F0"/>
    <w:rsid w:val="00B569C3"/>
    <w:rsid w:val="00B569E9"/>
    <w:rsid w:val="00B571C1"/>
    <w:rsid w:val="00B572FE"/>
    <w:rsid w:val="00B57421"/>
    <w:rsid w:val="00B5786B"/>
    <w:rsid w:val="00B57C32"/>
    <w:rsid w:val="00B605B9"/>
    <w:rsid w:val="00B60CC7"/>
    <w:rsid w:val="00B60F4A"/>
    <w:rsid w:val="00B61259"/>
    <w:rsid w:val="00B61400"/>
    <w:rsid w:val="00B616D7"/>
    <w:rsid w:val="00B6190D"/>
    <w:rsid w:val="00B61A9E"/>
    <w:rsid w:val="00B61BC9"/>
    <w:rsid w:val="00B62A28"/>
    <w:rsid w:val="00B62B31"/>
    <w:rsid w:val="00B62C29"/>
    <w:rsid w:val="00B62C35"/>
    <w:rsid w:val="00B639B6"/>
    <w:rsid w:val="00B63ED8"/>
    <w:rsid w:val="00B645A9"/>
    <w:rsid w:val="00B64C68"/>
    <w:rsid w:val="00B6508B"/>
    <w:rsid w:val="00B650EF"/>
    <w:rsid w:val="00B6552C"/>
    <w:rsid w:val="00B65661"/>
    <w:rsid w:val="00B6589C"/>
    <w:rsid w:val="00B65AEC"/>
    <w:rsid w:val="00B65D72"/>
    <w:rsid w:val="00B65F5E"/>
    <w:rsid w:val="00B66490"/>
    <w:rsid w:val="00B66BA5"/>
    <w:rsid w:val="00B67807"/>
    <w:rsid w:val="00B70774"/>
    <w:rsid w:val="00B70A98"/>
    <w:rsid w:val="00B70B3E"/>
    <w:rsid w:val="00B71D75"/>
    <w:rsid w:val="00B7235D"/>
    <w:rsid w:val="00B728A0"/>
    <w:rsid w:val="00B73063"/>
    <w:rsid w:val="00B7315B"/>
    <w:rsid w:val="00B73735"/>
    <w:rsid w:val="00B73FF2"/>
    <w:rsid w:val="00B7404E"/>
    <w:rsid w:val="00B7503C"/>
    <w:rsid w:val="00B75448"/>
    <w:rsid w:val="00B754A9"/>
    <w:rsid w:val="00B75DDB"/>
    <w:rsid w:val="00B75E04"/>
    <w:rsid w:val="00B761F0"/>
    <w:rsid w:val="00B76273"/>
    <w:rsid w:val="00B77098"/>
    <w:rsid w:val="00B77939"/>
    <w:rsid w:val="00B77BF9"/>
    <w:rsid w:val="00B77F00"/>
    <w:rsid w:val="00B801A1"/>
    <w:rsid w:val="00B801E8"/>
    <w:rsid w:val="00B808CA"/>
    <w:rsid w:val="00B80B05"/>
    <w:rsid w:val="00B80C6F"/>
    <w:rsid w:val="00B80D0E"/>
    <w:rsid w:val="00B80F06"/>
    <w:rsid w:val="00B81340"/>
    <w:rsid w:val="00B813BB"/>
    <w:rsid w:val="00B818EB"/>
    <w:rsid w:val="00B819EA"/>
    <w:rsid w:val="00B81CCA"/>
    <w:rsid w:val="00B81EC5"/>
    <w:rsid w:val="00B82678"/>
    <w:rsid w:val="00B8289F"/>
    <w:rsid w:val="00B836A3"/>
    <w:rsid w:val="00B837DC"/>
    <w:rsid w:val="00B843EB"/>
    <w:rsid w:val="00B844C0"/>
    <w:rsid w:val="00B84B3B"/>
    <w:rsid w:val="00B84B90"/>
    <w:rsid w:val="00B85DD9"/>
    <w:rsid w:val="00B86435"/>
    <w:rsid w:val="00B86715"/>
    <w:rsid w:val="00B86A34"/>
    <w:rsid w:val="00B878C2"/>
    <w:rsid w:val="00B90098"/>
    <w:rsid w:val="00B90334"/>
    <w:rsid w:val="00B90F3E"/>
    <w:rsid w:val="00B927A9"/>
    <w:rsid w:val="00B92DBE"/>
    <w:rsid w:val="00B930FA"/>
    <w:rsid w:val="00B935B5"/>
    <w:rsid w:val="00B93890"/>
    <w:rsid w:val="00B93B3C"/>
    <w:rsid w:val="00B9414A"/>
    <w:rsid w:val="00B942CD"/>
    <w:rsid w:val="00B94651"/>
    <w:rsid w:val="00B946D0"/>
    <w:rsid w:val="00B94A7D"/>
    <w:rsid w:val="00B94AEE"/>
    <w:rsid w:val="00B95A4A"/>
    <w:rsid w:val="00B95D11"/>
    <w:rsid w:val="00B96978"/>
    <w:rsid w:val="00B97246"/>
    <w:rsid w:val="00B977DB"/>
    <w:rsid w:val="00B97FF7"/>
    <w:rsid w:val="00BA06FB"/>
    <w:rsid w:val="00BA0836"/>
    <w:rsid w:val="00BA08B3"/>
    <w:rsid w:val="00BA0932"/>
    <w:rsid w:val="00BA095F"/>
    <w:rsid w:val="00BA0E58"/>
    <w:rsid w:val="00BA0F9B"/>
    <w:rsid w:val="00BA11AD"/>
    <w:rsid w:val="00BA132E"/>
    <w:rsid w:val="00BA17F5"/>
    <w:rsid w:val="00BA1BA6"/>
    <w:rsid w:val="00BA26D9"/>
    <w:rsid w:val="00BA2B8E"/>
    <w:rsid w:val="00BA39CA"/>
    <w:rsid w:val="00BA3A5B"/>
    <w:rsid w:val="00BA3B1A"/>
    <w:rsid w:val="00BA3C08"/>
    <w:rsid w:val="00BA4D58"/>
    <w:rsid w:val="00BA51FA"/>
    <w:rsid w:val="00BA52A7"/>
    <w:rsid w:val="00BA54F8"/>
    <w:rsid w:val="00BA57FB"/>
    <w:rsid w:val="00BA5CA8"/>
    <w:rsid w:val="00BA6BAC"/>
    <w:rsid w:val="00BA6DC7"/>
    <w:rsid w:val="00BA7217"/>
    <w:rsid w:val="00BA73CD"/>
    <w:rsid w:val="00BA74FA"/>
    <w:rsid w:val="00BA7A2D"/>
    <w:rsid w:val="00BA7E36"/>
    <w:rsid w:val="00BB0B76"/>
    <w:rsid w:val="00BB0EF5"/>
    <w:rsid w:val="00BB1915"/>
    <w:rsid w:val="00BB19AB"/>
    <w:rsid w:val="00BB2073"/>
    <w:rsid w:val="00BB2909"/>
    <w:rsid w:val="00BB2A16"/>
    <w:rsid w:val="00BB2D18"/>
    <w:rsid w:val="00BB2D75"/>
    <w:rsid w:val="00BB2F58"/>
    <w:rsid w:val="00BB2F7C"/>
    <w:rsid w:val="00BB33B7"/>
    <w:rsid w:val="00BB354E"/>
    <w:rsid w:val="00BB3A21"/>
    <w:rsid w:val="00BB4E3B"/>
    <w:rsid w:val="00BB517A"/>
    <w:rsid w:val="00BB55F5"/>
    <w:rsid w:val="00BB5924"/>
    <w:rsid w:val="00BB5978"/>
    <w:rsid w:val="00BB5A84"/>
    <w:rsid w:val="00BB62E1"/>
    <w:rsid w:val="00BB6549"/>
    <w:rsid w:val="00BB6B4F"/>
    <w:rsid w:val="00BB6C4F"/>
    <w:rsid w:val="00BB6D58"/>
    <w:rsid w:val="00BC01B9"/>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0CA"/>
    <w:rsid w:val="00BC5A3C"/>
    <w:rsid w:val="00BC5C19"/>
    <w:rsid w:val="00BC5E5F"/>
    <w:rsid w:val="00BC655D"/>
    <w:rsid w:val="00BC678D"/>
    <w:rsid w:val="00BC697A"/>
    <w:rsid w:val="00BC6990"/>
    <w:rsid w:val="00BC69D8"/>
    <w:rsid w:val="00BC6C89"/>
    <w:rsid w:val="00BC6F93"/>
    <w:rsid w:val="00BC7248"/>
    <w:rsid w:val="00BC7356"/>
    <w:rsid w:val="00BC79CB"/>
    <w:rsid w:val="00BC7A77"/>
    <w:rsid w:val="00BD029F"/>
    <w:rsid w:val="00BD0BF7"/>
    <w:rsid w:val="00BD0C96"/>
    <w:rsid w:val="00BD0FE2"/>
    <w:rsid w:val="00BD1C5B"/>
    <w:rsid w:val="00BD202A"/>
    <w:rsid w:val="00BD232B"/>
    <w:rsid w:val="00BD2FF4"/>
    <w:rsid w:val="00BD3B25"/>
    <w:rsid w:val="00BD3FCD"/>
    <w:rsid w:val="00BD40BC"/>
    <w:rsid w:val="00BD41C1"/>
    <w:rsid w:val="00BD4A9C"/>
    <w:rsid w:val="00BD4CB4"/>
    <w:rsid w:val="00BD4D7B"/>
    <w:rsid w:val="00BD54E7"/>
    <w:rsid w:val="00BD56B6"/>
    <w:rsid w:val="00BD5855"/>
    <w:rsid w:val="00BD5968"/>
    <w:rsid w:val="00BD6408"/>
    <w:rsid w:val="00BD6585"/>
    <w:rsid w:val="00BD7007"/>
    <w:rsid w:val="00BD71DC"/>
    <w:rsid w:val="00BD770E"/>
    <w:rsid w:val="00BD7AB2"/>
    <w:rsid w:val="00BD7B07"/>
    <w:rsid w:val="00BE0E6E"/>
    <w:rsid w:val="00BE1051"/>
    <w:rsid w:val="00BE1183"/>
    <w:rsid w:val="00BE13F9"/>
    <w:rsid w:val="00BE1836"/>
    <w:rsid w:val="00BE18ED"/>
    <w:rsid w:val="00BE1C37"/>
    <w:rsid w:val="00BE1D53"/>
    <w:rsid w:val="00BE1DD1"/>
    <w:rsid w:val="00BE1DD4"/>
    <w:rsid w:val="00BE1F62"/>
    <w:rsid w:val="00BE2746"/>
    <w:rsid w:val="00BE2FB4"/>
    <w:rsid w:val="00BE31ED"/>
    <w:rsid w:val="00BE35B2"/>
    <w:rsid w:val="00BE3913"/>
    <w:rsid w:val="00BE4D4F"/>
    <w:rsid w:val="00BE546F"/>
    <w:rsid w:val="00BE56C3"/>
    <w:rsid w:val="00BE5FA5"/>
    <w:rsid w:val="00BE628A"/>
    <w:rsid w:val="00BE6C14"/>
    <w:rsid w:val="00BE6CF6"/>
    <w:rsid w:val="00BE6DB8"/>
    <w:rsid w:val="00BE6FA8"/>
    <w:rsid w:val="00BE749B"/>
    <w:rsid w:val="00BE7C94"/>
    <w:rsid w:val="00BF005B"/>
    <w:rsid w:val="00BF0B70"/>
    <w:rsid w:val="00BF1308"/>
    <w:rsid w:val="00BF1A44"/>
    <w:rsid w:val="00BF1F37"/>
    <w:rsid w:val="00BF20BE"/>
    <w:rsid w:val="00BF20CD"/>
    <w:rsid w:val="00BF230D"/>
    <w:rsid w:val="00BF25BD"/>
    <w:rsid w:val="00BF268E"/>
    <w:rsid w:val="00BF28C6"/>
    <w:rsid w:val="00BF3722"/>
    <w:rsid w:val="00BF3987"/>
    <w:rsid w:val="00BF535C"/>
    <w:rsid w:val="00BF5954"/>
    <w:rsid w:val="00BF59C7"/>
    <w:rsid w:val="00BF62B1"/>
    <w:rsid w:val="00BF6637"/>
    <w:rsid w:val="00BF6A62"/>
    <w:rsid w:val="00BF7A61"/>
    <w:rsid w:val="00C0018F"/>
    <w:rsid w:val="00C00830"/>
    <w:rsid w:val="00C01155"/>
    <w:rsid w:val="00C02802"/>
    <w:rsid w:val="00C02BB7"/>
    <w:rsid w:val="00C03328"/>
    <w:rsid w:val="00C03386"/>
    <w:rsid w:val="00C038C4"/>
    <w:rsid w:val="00C03C42"/>
    <w:rsid w:val="00C03F60"/>
    <w:rsid w:val="00C042F1"/>
    <w:rsid w:val="00C0486A"/>
    <w:rsid w:val="00C049C8"/>
    <w:rsid w:val="00C05201"/>
    <w:rsid w:val="00C0561E"/>
    <w:rsid w:val="00C057CC"/>
    <w:rsid w:val="00C05F8B"/>
    <w:rsid w:val="00C060A4"/>
    <w:rsid w:val="00C06546"/>
    <w:rsid w:val="00C06F54"/>
    <w:rsid w:val="00C105CA"/>
    <w:rsid w:val="00C106F4"/>
    <w:rsid w:val="00C110C3"/>
    <w:rsid w:val="00C114C0"/>
    <w:rsid w:val="00C11500"/>
    <w:rsid w:val="00C11713"/>
    <w:rsid w:val="00C11E8C"/>
    <w:rsid w:val="00C11FC3"/>
    <w:rsid w:val="00C1283B"/>
    <w:rsid w:val="00C12990"/>
    <w:rsid w:val="00C135BD"/>
    <w:rsid w:val="00C13640"/>
    <w:rsid w:val="00C1369C"/>
    <w:rsid w:val="00C139AC"/>
    <w:rsid w:val="00C13BB9"/>
    <w:rsid w:val="00C13CEF"/>
    <w:rsid w:val="00C1422B"/>
    <w:rsid w:val="00C14B5E"/>
    <w:rsid w:val="00C14D74"/>
    <w:rsid w:val="00C14E7E"/>
    <w:rsid w:val="00C153E0"/>
    <w:rsid w:val="00C15493"/>
    <w:rsid w:val="00C15E54"/>
    <w:rsid w:val="00C16594"/>
    <w:rsid w:val="00C1692E"/>
    <w:rsid w:val="00C16A23"/>
    <w:rsid w:val="00C16B8B"/>
    <w:rsid w:val="00C17472"/>
    <w:rsid w:val="00C2015A"/>
    <w:rsid w:val="00C204E2"/>
    <w:rsid w:val="00C212C6"/>
    <w:rsid w:val="00C21B62"/>
    <w:rsid w:val="00C21EC0"/>
    <w:rsid w:val="00C22139"/>
    <w:rsid w:val="00C2257B"/>
    <w:rsid w:val="00C2332E"/>
    <w:rsid w:val="00C23BDB"/>
    <w:rsid w:val="00C23DB2"/>
    <w:rsid w:val="00C24314"/>
    <w:rsid w:val="00C244C3"/>
    <w:rsid w:val="00C2459E"/>
    <w:rsid w:val="00C245D8"/>
    <w:rsid w:val="00C24627"/>
    <w:rsid w:val="00C248CC"/>
    <w:rsid w:val="00C2492A"/>
    <w:rsid w:val="00C24D5F"/>
    <w:rsid w:val="00C24F14"/>
    <w:rsid w:val="00C25026"/>
    <w:rsid w:val="00C25385"/>
    <w:rsid w:val="00C25954"/>
    <w:rsid w:val="00C25D82"/>
    <w:rsid w:val="00C26360"/>
    <w:rsid w:val="00C2667C"/>
    <w:rsid w:val="00C26E49"/>
    <w:rsid w:val="00C27BD1"/>
    <w:rsid w:val="00C27CB0"/>
    <w:rsid w:val="00C27ECD"/>
    <w:rsid w:val="00C27F12"/>
    <w:rsid w:val="00C301C8"/>
    <w:rsid w:val="00C30548"/>
    <w:rsid w:val="00C30556"/>
    <w:rsid w:val="00C30647"/>
    <w:rsid w:val="00C30BBA"/>
    <w:rsid w:val="00C30DE9"/>
    <w:rsid w:val="00C30E11"/>
    <w:rsid w:val="00C310A6"/>
    <w:rsid w:val="00C31442"/>
    <w:rsid w:val="00C319BB"/>
    <w:rsid w:val="00C31BA7"/>
    <w:rsid w:val="00C31BD9"/>
    <w:rsid w:val="00C32014"/>
    <w:rsid w:val="00C322B4"/>
    <w:rsid w:val="00C3297C"/>
    <w:rsid w:val="00C33020"/>
    <w:rsid w:val="00C331DE"/>
    <w:rsid w:val="00C334FB"/>
    <w:rsid w:val="00C339D9"/>
    <w:rsid w:val="00C34A03"/>
    <w:rsid w:val="00C34B5F"/>
    <w:rsid w:val="00C357F9"/>
    <w:rsid w:val="00C35F85"/>
    <w:rsid w:val="00C36327"/>
    <w:rsid w:val="00C36640"/>
    <w:rsid w:val="00C366F5"/>
    <w:rsid w:val="00C36A4A"/>
    <w:rsid w:val="00C36C45"/>
    <w:rsid w:val="00C372AC"/>
    <w:rsid w:val="00C37358"/>
    <w:rsid w:val="00C376A5"/>
    <w:rsid w:val="00C37A23"/>
    <w:rsid w:val="00C37BF2"/>
    <w:rsid w:val="00C37E2E"/>
    <w:rsid w:val="00C400B2"/>
    <w:rsid w:val="00C4050F"/>
    <w:rsid w:val="00C4059B"/>
    <w:rsid w:val="00C408ED"/>
    <w:rsid w:val="00C41339"/>
    <w:rsid w:val="00C4186C"/>
    <w:rsid w:val="00C42A1B"/>
    <w:rsid w:val="00C42B23"/>
    <w:rsid w:val="00C431E5"/>
    <w:rsid w:val="00C43672"/>
    <w:rsid w:val="00C43DB3"/>
    <w:rsid w:val="00C4407E"/>
    <w:rsid w:val="00C44114"/>
    <w:rsid w:val="00C441DC"/>
    <w:rsid w:val="00C4498E"/>
    <w:rsid w:val="00C44DDC"/>
    <w:rsid w:val="00C453FC"/>
    <w:rsid w:val="00C45C0A"/>
    <w:rsid w:val="00C4630D"/>
    <w:rsid w:val="00C46C58"/>
    <w:rsid w:val="00C47113"/>
    <w:rsid w:val="00C47785"/>
    <w:rsid w:val="00C478A4"/>
    <w:rsid w:val="00C47D9A"/>
    <w:rsid w:val="00C47FC2"/>
    <w:rsid w:val="00C50252"/>
    <w:rsid w:val="00C50414"/>
    <w:rsid w:val="00C50577"/>
    <w:rsid w:val="00C50891"/>
    <w:rsid w:val="00C50B5D"/>
    <w:rsid w:val="00C50FC9"/>
    <w:rsid w:val="00C5111D"/>
    <w:rsid w:val="00C51954"/>
    <w:rsid w:val="00C51BF5"/>
    <w:rsid w:val="00C52916"/>
    <w:rsid w:val="00C5476F"/>
    <w:rsid w:val="00C549F7"/>
    <w:rsid w:val="00C55BCE"/>
    <w:rsid w:val="00C55E68"/>
    <w:rsid w:val="00C56008"/>
    <w:rsid w:val="00C56688"/>
    <w:rsid w:val="00C5671C"/>
    <w:rsid w:val="00C569ED"/>
    <w:rsid w:val="00C56C1A"/>
    <w:rsid w:val="00C56D79"/>
    <w:rsid w:val="00C56F80"/>
    <w:rsid w:val="00C57249"/>
    <w:rsid w:val="00C572F5"/>
    <w:rsid w:val="00C5753A"/>
    <w:rsid w:val="00C57558"/>
    <w:rsid w:val="00C57A55"/>
    <w:rsid w:val="00C57E0F"/>
    <w:rsid w:val="00C57FF5"/>
    <w:rsid w:val="00C6053D"/>
    <w:rsid w:val="00C60816"/>
    <w:rsid w:val="00C60B17"/>
    <w:rsid w:val="00C60CB3"/>
    <w:rsid w:val="00C61388"/>
    <w:rsid w:val="00C6162E"/>
    <w:rsid w:val="00C616B2"/>
    <w:rsid w:val="00C61758"/>
    <w:rsid w:val="00C62B0D"/>
    <w:rsid w:val="00C63B38"/>
    <w:rsid w:val="00C63C08"/>
    <w:rsid w:val="00C63CC6"/>
    <w:rsid w:val="00C64C61"/>
    <w:rsid w:val="00C65562"/>
    <w:rsid w:val="00C655B0"/>
    <w:rsid w:val="00C65C26"/>
    <w:rsid w:val="00C65DA8"/>
    <w:rsid w:val="00C66104"/>
    <w:rsid w:val="00C668D4"/>
    <w:rsid w:val="00C669DC"/>
    <w:rsid w:val="00C66D9D"/>
    <w:rsid w:val="00C67281"/>
    <w:rsid w:val="00C67391"/>
    <w:rsid w:val="00C674B2"/>
    <w:rsid w:val="00C6759C"/>
    <w:rsid w:val="00C67AD5"/>
    <w:rsid w:val="00C7066B"/>
    <w:rsid w:val="00C70C52"/>
    <w:rsid w:val="00C70FEC"/>
    <w:rsid w:val="00C717C0"/>
    <w:rsid w:val="00C71868"/>
    <w:rsid w:val="00C7188C"/>
    <w:rsid w:val="00C71B29"/>
    <w:rsid w:val="00C71B80"/>
    <w:rsid w:val="00C71D5C"/>
    <w:rsid w:val="00C7215B"/>
    <w:rsid w:val="00C72FF6"/>
    <w:rsid w:val="00C73505"/>
    <w:rsid w:val="00C73A93"/>
    <w:rsid w:val="00C73B3B"/>
    <w:rsid w:val="00C73C43"/>
    <w:rsid w:val="00C73EBB"/>
    <w:rsid w:val="00C746D0"/>
    <w:rsid w:val="00C7496B"/>
    <w:rsid w:val="00C74B70"/>
    <w:rsid w:val="00C74D2F"/>
    <w:rsid w:val="00C76328"/>
    <w:rsid w:val="00C76397"/>
    <w:rsid w:val="00C77303"/>
    <w:rsid w:val="00C77712"/>
    <w:rsid w:val="00C80097"/>
    <w:rsid w:val="00C80251"/>
    <w:rsid w:val="00C80680"/>
    <w:rsid w:val="00C80B2A"/>
    <w:rsid w:val="00C817BE"/>
    <w:rsid w:val="00C82426"/>
    <w:rsid w:val="00C824A8"/>
    <w:rsid w:val="00C82A61"/>
    <w:rsid w:val="00C82F86"/>
    <w:rsid w:val="00C83A80"/>
    <w:rsid w:val="00C84436"/>
    <w:rsid w:val="00C84439"/>
    <w:rsid w:val="00C84639"/>
    <w:rsid w:val="00C84ECE"/>
    <w:rsid w:val="00C85203"/>
    <w:rsid w:val="00C85346"/>
    <w:rsid w:val="00C85493"/>
    <w:rsid w:val="00C85ADF"/>
    <w:rsid w:val="00C85E26"/>
    <w:rsid w:val="00C861B8"/>
    <w:rsid w:val="00C86584"/>
    <w:rsid w:val="00C8747A"/>
    <w:rsid w:val="00C902F6"/>
    <w:rsid w:val="00C9079E"/>
    <w:rsid w:val="00C90982"/>
    <w:rsid w:val="00C90A65"/>
    <w:rsid w:val="00C90CCF"/>
    <w:rsid w:val="00C9130F"/>
    <w:rsid w:val="00C919AF"/>
    <w:rsid w:val="00C91C22"/>
    <w:rsid w:val="00C91EBF"/>
    <w:rsid w:val="00C91F6C"/>
    <w:rsid w:val="00C923AF"/>
    <w:rsid w:val="00C925F3"/>
    <w:rsid w:val="00C92885"/>
    <w:rsid w:val="00C9324D"/>
    <w:rsid w:val="00C935DF"/>
    <w:rsid w:val="00C9397E"/>
    <w:rsid w:val="00C93E6D"/>
    <w:rsid w:val="00C93F0E"/>
    <w:rsid w:val="00C94117"/>
    <w:rsid w:val="00C9421F"/>
    <w:rsid w:val="00C94400"/>
    <w:rsid w:val="00C94682"/>
    <w:rsid w:val="00C94D56"/>
    <w:rsid w:val="00C952B0"/>
    <w:rsid w:val="00C95832"/>
    <w:rsid w:val="00C95F83"/>
    <w:rsid w:val="00C97239"/>
    <w:rsid w:val="00C97283"/>
    <w:rsid w:val="00CA0061"/>
    <w:rsid w:val="00CA0264"/>
    <w:rsid w:val="00CA02D0"/>
    <w:rsid w:val="00CA0310"/>
    <w:rsid w:val="00CA0CF4"/>
    <w:rsid w:val="00CA0FBC"/>
    <w:rsid w:val="00CA10A8"/>
    <w:rsid w:val="00CA1331"/>
    <w:rsid w:val="00CA1ABE"/>
    <w:rsid w:val="00CA2282"/>
    <w:rsid w:val="00CA2A02"/>
    <w:rsid w:val="00CA2FE5"/>
    <w:rsid w:val="00CA31D5"/>
    <w:rsid w:val="00CA37ED"/>
    <w:rsid w:val="00CA4B2C"/>
    <w:rsid w:val="00CA4EE5"/>
    <w:rsid w:val="00CA4F65"/>
    <w:rsid w:val="00CA5075"/>
    <w:rsid w:val="00CA5924"/>
    <w:rsid w:val="00CA5D22"/>
    <w:rsid w:val="00CA5E8D"/>
    <w:rsid w:val="00CA7694"/>
    <w:rsid w:val="00CA7EF3"/>
    <w:rsid w:val="00CB0552"/>
    <w:rsid w:val="00CB12F9"/>
    <w:rsid w:val="00CB218A"/>
    <w:rsid w:val="00CB3F59"/>
    <w:rsid w:val="00CB48D0"/>
    <w:rsid w:val="00CB498E"/>
    <w:rsid w:val="00CB51B2"/>
    <w:rsid w:val="00CB538D"/>
    <w:rsid w:val="00CB539F"/>
    <w:rsid w:val="00CB5A9E"/>
    <w:rsid w:val="00CB5EB8"/>
    <w:rsid w:val="00CB6E57"/>
    <w:rsid w:val="00CB746C"/>
    <w:rsid w:val="00CB79A9"/>
    <w:rsid w:val="00CB7C93"/>
    <w:rsid w:val="00CB7CCA"/>
    <w:rsid w:val="00CC1BEC"/>
    <w:rsid w:val="00CC244C"/>
    <w:rsid w:val="00CC2526"/>
    <w:rsid w:val="00CC26A7"/>
    <w:rsid w:val="00CC2BDD"/>
    <w:rsid w:val="00CC2D1F"/>
    <w:rsid w:val="00CC32AC"/>
    <w:rsid w:val="00CC3631"/>
    <w:rsid w:val="00CC3BF0"/>
    <w:rsid w:val="00CC3CD1"/>
    <w:rsid w:val="00CC44E8"/>
    <w:rsid w:val="00CC462B"/>
    <w:rsid w:val="00CC4869"/>
    <w:rsid w:val="00CC4A96"/>
    <w:rsid w:val="00CC59B6"/>
    <w:rsid w:val="00CC59F4"/>
    <w:rsid w:val="00CC611B"/>
    <w:rsid w:val="00CC6304"/>
    <w:rsid w:val="00CC6602"/>
    <w:rsid w:val="00CC6EE7"/>
    <w:rsid w:val="00CC75F6"/>
    <w:rsid w:val="00CC76AE"/>
    <w:rsid w:val="00CD0516"/>
    <w:rsid w:val="00CD14D8"/>
    <w:rsid w:val="00CD19C6"/>
    <w:rsid w:val="00CD1B3E"/>
    <w:rsid w:val="00CD22B8"/>
    <w:rsid w:val="00CD28BA"/>
    <w:rsid w:val="00CD2BC9"/>
    <w:rsid w:val="00CD2E04"/>
    <w:rsid w:val="00CD34D6"/>
    <w:rsid w:val="00CD37A6"/>
    <w:rsid w:val="00CD3977"/>
    <w:rsid w:val="00CD397C"/>
    <w:rsid w:val="00CD3A00"/>
    <w:rsid w:val="00CD4146"/>
    <w:rsid w:val="00CD4425"/>
    <w:rsid w:val="00CD5742"/>
    <w:rsid w:val="00CD5B00"/>
    <w:rsid w:val="00CD5F9E"/>
    <w:rsid w:val="00CD60D4"/>
    <w:rsid w:val="00CD63A4"/>
    <w:rsid w:val="00CD68C8"/>
    <w:rsid w:val="00CD68FE"/>
    <w:rsid w:val="00CD6EE8"/>
    <w:rsid w:val="00CD768D"/>
    <w:rsid w:val="00CD795C"/>
    <w:rsid w:val="00CD79B7"/>
    <w:rsid w:val="00CE0723"/>
    <w:rsid w:val="00CE0953"/>
    <w:rsid w:val="00CE0969"/>
    <w:rsid w:val="00CE14EA"/>
    <w:rsid w:val="00CE1F86"/>
    <w:rsid w:val="00CE21E4"/>
    <w:rsid w:val="00CE2839"/>
    <w:rsid w:val="00CE3419"/>
    <w:rsid w:val="00CE3A2B"/>
    <w:rsid w:val="00CE3A54"/>
    <w:rsid w:val="00CE4106"/>
    <w:rsid w:val="00CE43A6"/>
    <w:rsid w:val="00CE4BA6"/>
    <w:rsid w:val="00CE50C5"/>
    <w:rsid w:val="00CE53F2"/>
    <w:rsid w:val="00CE57D0"/>
    <w:rsid w:val="00CE62F5"/>
    <w:rsid w:val="00CE6542"/>
    <w:rsid w:val="00CE65DD"/>
    <w:rsid w:val="00CE6690"/>
    <w:rsid w:val="00CE66A7"/>
    <w:rsid w:val="00CE6F65"/>
    <w:rsid w:val="00CE79B6"/>
    <w:rsid w:val="00CF0257"/>
    <w:rsid w:val="00CF10BF"/>
    <w:rsid w:val="00CF11CE"/>
    <w:rsid w:val="00CF1242"/>
    <w:rsid w:val="00CF1360"/>
    <w:rsid w:val="00CF1D44"/>
    <w:rsid w:val="00CF1E11"/>
    <w:rsid w:val="00CF23CC"/>
    <w:rsid w:val="00CF2CCA"/>
    <w:rsid w:val="00CF2EC1"/>
    <w:rsid w:val="00CF324E"/>
    <w:rsid w:val="00CF38DF"/>
    <w:rsid w:val="00CF38E8"/>
    <w:rsid w:val="00CF3D90"/>
    <w:rsid w:val="00CF45E5"/>
    <w:rsid w:val="00CF5146"/>
    <w:rsid w:val="00CF52A7"/>
    <w:rsid w:val="00CF54AF"/>
    <w:rsid w:val="00CF57FA"/>
    <w:rsid w:val="00CF5F93"/>
    <w:rsid w:val="00CF5FF9"/>
    <w:rsid w:val="00CF61EF"/>
    <w:rsid w:val="00CF64C6"/>
    <w:rsid w:val="00CF7041"/>
    <w:rsid w:val="00CF709E"/>
    <w:rsid w:val="00CF70D7"/>
    <w:rsid w:val="00CF7252"/>
    <w:rsid w:val="00CF726B"/>
    <w:rsid w:val="00CF7B4B"/>
    <w:rsid w:val="00CF7CA4"/>
    <w:rsid w:val="00D00594"/>
    <w:rsid w:val="00D018D2"/>
    <w:rsid w:val="00D01AFF"/>
    <w:rsid w:val="00D01BA5"/>
    <w:rsid w:val="00D01DEC"/>
    <w:rsid w:val="00D02374"/>
    <w:rsid w:val="00D02C32"/>
    <w:rsid w:val="00D0340A"/>
    <w:rsid w:val="00D03CC5"/>
    <w:rsid w:val="00D0471F"/>
    <w:rsid w:val="00D05209"/>
    <w:rsid w:val="00D058E3"/>
    <w:rsid w:val="00D06131"/>
    <w:rsid w:val="00D07102"/>
    <w:rsid w:val="00D075FD"/>
    <w:rsid w:val="00D0790C"/>
    <w:rsid w:val="00D07955"/>
    <w:rsid w:val="00D10D4F"/>
    <w:rsid w:val="00D1104A"/>
    <w:rsid w:val="00D111BA"/>
    <w:rsid w:val="00D11ADD"/>
    <w:rsid w:val="00D12D79"/>
    <w:rsid w:val="00D12DCC"/>
    <w:rsid w:val="00D14420"/>
    <w:rsid w:val="00D14545"/>
    <w:rsid w:val="00D145A4"/>
    <w:rsid w:val="00D1485B"/>
    <w:rsid w:val="00D148AA"/>
    <w:rsid w:val="00D148B9"/>
    <w:rsid w:val="00D14917"/>
    <w:rsid w:val="00D14B76"/>
    <w:rsid w:val="00D1570B"/>
    <w:rsid w:val="00D15833"/>
    <w:rsid w:val="00D15956"/>
    <w:rsid w:val="00D15B49"/>
    <w:rsid w:val="00D15DB4"/>
    <w:rsid w:val="00D17421"/>
    <w:rsid w:val="00D20246"/>
    <w:rsid w:val="00D2034E"/>
    <w:rsid w:val="00D204E0"/>
    <w:rsid w:val="00D20516"/>
    <w:rsid w:val="00D207DB"/>
    <w:rsid w:val="00D20A4A"/>
    <w:rsid w:val="00D21D4C"/>
    <w:rsid w:val="00D22202"/>
    <w:rsid w:val="00D226C3"/>
    <w:rsid w:val="00D23B09"/>
    <w:rsid w:val="00D23E26"/>
    <w:rsid w:val="00D23F4B"/>
    <w:rsid w:val="00D243C3"/>
    <w:rsid w:val="00D247AC"/>
    <w:rsid w:val="00D256CC"/>
    <w:rsid w:val="00D25871"/>
    <w:rsid w:val="00D30951"/>
    <w:rsid w:val="00D312AD"/>
    <w:rsid w:val="00D31327"/>
    <w:rsid w:val="00D318FE"/>
    <w:rsid w:val="00D319A6"/>
    <w:rsid w:val="00D31AD7"/>
    <w:rsid w:val="00D31B95"/>
    <w:rsid w:val="00D31E2E"/>
    <w:rsid w:val="00D31F49"/>
    <w:rsid w:val="00D32140"/>
    <w:rsid w:val="00D32D30"/>
    <w:rsid w:val="00D33402"/>
    <w:rsid w:val="00D335AD"/>
    <w:rsid w:val="00D341E4"/>
    <w:rsid w:val="00D345E2"/>
    <w:rsid w:val="00D34697"/>
    <w:rsid w:val="00D34844"/>
    <w:rsid w:val="00D34964"/>
    <w:rsid w:val="00D34BB0"/>
    <w:rsid w:val="00D34C29"/>
    <w:rsid w:val="00D363DE"/>
    <w:rsid w:val="00D36792"/>
    <w:rsid w:val="00D36AB5"/>
    <w:rsid w:val="00D36B1C"/>
    <w:rsid w:val="00D36F36"/>
    <w:rsid w:val="00D3730C"/>
    <w:rsid w:val="00D37FBB"/>
    <w:rsid w:val="00D401E0"/>
    <w:rsid w:val="00D40B20"/>
    <w:rsid w:val="00D41E81"/>
    <w:rsid w:val="00D41EF7"/>
    <w:rsid w:val="00D4253F"/>
    <w:rsid w:val="00D427E7"/>
    <w:rsid w:val="00D428D4"/>
    <w:rsid w:val="00D43428"/>
    <w:rsid w:val="00D43598"/>
    <w:rsid w:val="00D4387D"/>
    <w:rsid w:val="00D43A68"/>
    <w:rsid w:val="00D44087"/>
    <w:rsid w:val="00D44214"/>
    <w:rsid w:val="00D448F6"/>
    <w:rsid w:val="00D4589F"/>
    <w:rsid w:val="00D4632B"/>
    <w:rsid w:val="00D467CA"/>
    <w:rsid w:val="00D46929"/>
    <w:rsid w:val="00D46C67"/>
    <w:rsid w:val="00D47658"/>
    <w:rsid w:val="00D477AD"/>
    <w:rsid w:val="00D508E3"/>
    <w:rsid w:val="00D50BEC"/>
    <w:rsid w:val="00D50D52"/>
    <w:rsid w:val="00D50FA5"/>
    <w:rsid w:val="00D51106"/>
    <w:rsid w:val="00D51642"/>
    <w:rsid w:val="00D5190D"/>
    <w:rsid w:val="00D51954"/>
    <w:rsid w:val="00D51D4A"/>
    <w:rsid w:val="00D52B65"/>
    <w:rsid w:val="00D52C33"/>
    <w:rsid w:val="00D5481B"/>
    <w:rsid w:val="00D54885"/>
    <w:rsid w:val="00D55029"/>
    <w:rsid w:val="00D550B4"/>
    <w:rsid w:val="00D551CA"/>
    <w:rsid w:val="00D55CE6"/>
    <w:rsid w:val="00D55DB8"/>
    <w:rsid w:val="00D5619D"/>
    <w:rsid w:val="00D5630B"/>
    <w:rsid w:val="00D56D5F"/>
    <w:rsid w:val="00D56F6E"/>
    <w:rsid w:val="00D56FA6"/>
    <w:rsid w:val="00D57C10"/>
    <w:rsid w:val="00D57E1A"/>
    <w:rsid w:val="00D604C9"/>
    <w:rsid w:val="00D608AD"/>
    <w:rsid w:val="00D60953"/>
    <w:rsid w:val="00D60B01"/>
    <w:rsid w:val="00D60F60"/>
    <w:rsid w:val="00D611D7"/>
    <w:rsid w:val="00D61227"/>
    <w:rsid w:val="00D6156B"/>
    <w:rsid w:val="00D61822"/>
    <w:rsid w:val="00D6197C"/>
    <w:rsid w:val="00D61A22"/>
    <w:rsid w:val="00D61AD1"/>
    <w:rsid w:val="00D61F94"/>
    <w:rsid w:val="00D620E4"/>
    <w:rsid w:val="00D62A45"/>
    <w:rsid w:val="00D63046"/>
    <w:rsid w:val="00D64217"/>
    <w:rsid w:val="00D64262"/>
    <w:rsid w:val="00D6473B"/>
    <w:rsid w:val="00D64A8A"/>
    <w:rsid w:val="00D64AB4"/>
    <w:rsid w:val="00D64F69"/>
    <w:rsid w:val="00D64F7B"/>
    <w:rsid w:val="00D64F85"/>
    <w:rsid w:val="00D652DD"/>
    <w:rsid w:val="00D65756"/>
    <w:rsid w:val="00D65D4B"/>
    <w:rsid w:val="00D65E22"/>
    <w:rsid w:val="00D66675"/>
    <w:rsid w:val="00D66BD4"/>
    <w:rsid w:val="00D66C67"/>
    <w:rsid w:val="00D66D34"/>
    <w:rsid w:val="00D66DC3"/>
    <w:rsid w:val="00D66EE3"/>
    <w:rsid w:val="00D67573"/>
    <w:rsid w:val="00D675C0"/>
    <w:rsid w:val="00D67B03"/>
    <w:rsid w:val="00D67FDE"/>
    <w:rsid w:val="00D70005"/>
    <w:rsid w:val="00D70137"/>
    <w:rsid w:val="00D70568"/>
    <w:rsid w:val="00D7103F"/>
    <w:rsid w:val="00D7122E"/>
    <w:rsid w:val="00D71567"/>
    <w:rsid w:val="00D71B4C"/>
    <w:rsid w:val="00D71F73"/>
    <w:rsid w:val="00D72DBD"/>
    <w:rsid w:val="00D73075"/>
    <w:rsid w:val="00D74289"/>
    <w:rsid w:val="00D74698"/>
    <w:rsid w:val="00D7495D"/>
    <w:rsid w:val="00D7553D"/>
    <w:rsid w:val="00D75EAC"/>
    <w:rsid w:val="00D76178"/>
    <w:rsid w:val="00D762A9"/>
    <w:rsid w:val="00D763BD"/>
    <w:rsid w:val="00D76C5E"/>
    <w:rsid w:val="00D76D68"/>
    <w:rsid w:val="00D77003"/>
    <w:rsid w:val="00D77222"/>
    <w:rsid w:val="00D77A50"/>
    <w:rsid w:val="00D80543"/>
    <w:rsid w:val="00D80A62"/>
    <w:rsid w:val="00D811CE"/>
    <w:rsid w:val="00D8166E"/>
    <w:rsid w:val="00D819A7"/>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542A"/>
    <w:rsid w:val="00D85AE8"/>
    <w:rsid w:val="00D85EDE"/>
    <w:rsid w:val="00D8619A"/>
    <w:rsid w:val="00D86EEA"/>
    <w:rsid w:val="00D8703F"/>
    <w:rsid w:val="00D87446"/>
    <w:rsid w:val="00D8765A"/>
    <w:rsid w:val="00D87AFF"/>
    <w:rsid w:val="00D90781"/>
    <w:rsid w:val="00D90BE0"/>
    <w:rsid w:val="00D90C63"/>
    <w:rsid w:val="00D9112A"/>
    <w:rsid w:val="00D91306"/>
    <w:rsid w:val="00D91C17"/>
    <w:rsid w:val="00D91E7E"/>
    <w:rsid w:val="00D91F8D"/>
    <w:rsid w:val="00D920AE"/>
    <w:rsid w:val="00D926F7"/>
    <w:rsid w:val="00D92887"/>
    <w:rsid w:val="00D9288A"/>
    <w:rsid w:val="00D934E3"/>
    <w:rsid w:val="00D941DE"/>
    <w:rsid w:val="00D943F0"/>
    <w:rsid w:val="00D944D3"/>
    <w:rsid w:val="00D95BCE"/>
    <w:rsid w:val="00D961A1"/>
    <w:rsid w:val="00D961D3"/>
    <w:rsid w:val="00D961D8"/>
    <w:rsid w:val="00D963CF"/>
    <w:rsid w:val="00D96407"/>
    <w:rsid w:val="00D96933"/>
    <w:rsid w:val="00D96E81"/>
    <w:rsid w:val="00D9772B"/>
    <w:rsid w:val="00DA01B3"/>
    <w:rsid w:val="00DA0A50"/>
    <w:rsid w:val="00DA0D1B"/>
    <w:rsid w:val="00DA126F"/>
    <w:rsid w:val="00DA13A7"/>
    <w:rsid w:val="00DA1DF6"/>
    <w:rsid w:val="00DA1F1C"/>
    <w:rsid w:val="00DA24D1"/>
    <w:rsid w:val="00DA25F9"/>
    <w:rsid w:val="00DA29A2"/>
    <w:rsid w:val="00DA2A6D"/>
    <w:rsid w:val="00DA2B77"/>
    <w:rsid w:val="00DA366E"/>
    <w:rsid w:val="00DA3895"/>
    <w:rsid w:val="00DA3D25"/>
    <w:rsid w:val="00DA3DF7"/>
    <w:rsid w:val="00DA3E76"/>
    <w:rsid w:val="00DA412B"/>
    <w:rsid w:val="00DA4F04"/>
    <w:rsid w:val="00DA5056"/>
    <w:rsid w:val="00DA51E6"/>
    <w:rsid w:val="00DA5A80"/>
    <w:rsid w:val="00DA633D"/>
    <w:rsid w:val="00DA67B6"/>
    <w:rsid w:val="00DA7368"/>
    <w:rsid w:val="00DA79DE"/>
    <w:rsid w:val="00DA7C90"/>
    <w:rsid w:val="00DA7D28"/>
    <w:rsid w:val="00DA7F3A"/>
    <w:rsid w:val="00DB0046"/>
    <w:rsid w:val="00DB0123"/>
    <w:rsid w:val="00DB02ED"/>
    <w:rsid w:val="00DB0DF7"/>
    <w:rsid w:val="00DB18FC"/>
    <w:rsid w:val="00DB1DFB"/>
    <w:rsid w:val="00DB22E2"/>
    <w:rsid w:val="00DB256F"/>
    <w:rsid w:val="00DB260C"/>
    <w:rsid w:val="00DB2A3F"/>
    <w:rsid w:val="00DB2B9E"/>
    <w:rsid w:val="00DB2C33"/>
    <w:rsid w:val="00DB3394"/>
    <w:rsid w:val="00DB37FD"/>
    <w:rsid w:val="00DB3831"/>
    <w:rsid w:val="00DB4644"/>
    <w:rsid w:val="00DB4E5A"/>
    <w:rsid w:val="00DB54C4"/>
    <w:rsid w:val="00DB556E"/>
    <w:rsid w:val="00DB5AD8"/>
    <w:rsid w:val="00DB6707"/>
    <w:rsid w:val="00DB6A40"/>
    <w:rsid w:val="00DB7107"/>
    <w:rsid w:val="00DB72D8"/>
    <w:rsid w:val="00DB7BF9"/>
    <w:rsid w:val="00DB7C4C"/>
    <w:rsid w:val="00DB7EA1"/>
    <w:rsid w:val="00DC0B63"/>
    <w:rsid w:val="00DC0CB9"/>
    <w:rsid w:val="00DC0E6F"/>
    <w:rsid w:val="00DC178E"/>
    <w:rsid w:val="00DC17A4"/>
    <w:rsid w:val="00DC18AC"/>
    <w:rsid w:val="00DC2476"/>
    <w:rsid w:val="00DC28C9"/>
    <w:rsid w:val="00DC2D4B"/>
    <w:rsid w:val="00DC326B"/>
    <w:rsid w:val="00DC343C"/>
    <w:rsid w:val="00DC3519"/>
    <w:rsid w:val="00DC3537"/>
    <w:rsid w:val="00DC3569"/>
    <w:rsid w:val="00DC3B9E"/>
    <w:rsid w:val="00DC3BE4"/>
    <w:rsid w:val="00DC4BA1"/>
    <w:rsid w:val="00DC51A3"/>
    <w:rsid w:val="00DC5267"/>
    <w:rsid w:val="00DC546A"/>
    <w:rsid w:val="00DC595F"/>
    <w:rsid w:val="00DC6CFF"/>
    <w:rsid w:val="00DC6FEE"/>
    <w:rsid w:val="00DC744D"/>
    <w:rsid w:val="00DC7457"/>
    <w:rsid w:val="00DC74C2"/>
    <w:rsid w:val="00DC79AE"/>
    <w:rsid w:val="00DC7D84"/>
    <w:rsid w:val="00DD081D"/>
    <w:rsid w:val="00DD15B8"/>
    <w:rsid w:val="00DD1645"/>
    <w:rsid w:val="00DD1859"/>
    <w:rsid w:val="00DD19C1"/>
    <w:rsid w:val="00DD1AD5"/>
    <w:rsid w:val="00DD1B37"/>
    <w:rsid w:val="00DD28AE"/>
    <w:rsid w:val="00DD2E21"/>
    <w:rsid w:val="00DD2FA7"/>
    <w:rsid w:val="00DD3165"/>
    <w:rsid w:val="00DD3369"/>
    <w:rsid w:val="00DD3C61"/>
    <w:rsid w:val="00DD3CD4"/>
    <w:rsid w:val="00DD46BF"/>
    <w:rsid w:val="00DD4CD0"/>
    <w:rsid w:val="00DD4EB6"/>
    <w:rsid w:val="00DD5841"/>
    <w:rsid w:val="00DD5A92"/>
    <w:rsid w:val="00DD63E5"/>
    <w:rsid w:val="00DD6409"/>
    <w:rsid w:val="00DD6B26"/>
    <w:rsid w:val="00DD7653"/>
    <w:rsid w:val="00DD7776"/>
    <w:rsid w:val="00DE03D9"/>
    <w:rsid w:val="00DE1514"/>
    <w:rsid w:val="00DE19B9"/>
    <w:rsid w:val="00DE1A37"/>
    <w:rsid w:val="00DE1B58"/>
    <w:rsid w:val="00DE209F"/>
    <w:rsid w:val="00DE296D"/>
    <w:rsid w:val="00DE2FE8"/>
    <w:rsid w:val="00DE3169"/>
    <w:rsid w:val="00DE39EC"/>
    <w:rsid w:val="00DE3C5D"/>
    <w:rsid w:val="00DE420C"/>
    <w:rsid w:val="00DE4AE4"/>
    <w:rsid w:val="00DE4D0A"/>
    <w:rsid w:val="00DE4D7E"/>
    <w:rsid w:val="00DE56A9"/>
    <w:rsid w:val="00DE5732"/>
    <w:rsid w:val="00DE5D46"/>
    <w:rsid w:val="00DE6A1A"/>
    <w:rsid w:val="00DE6D84"/>
    <w:rsid w:val="00DE6FC4"/>
    <w:rsid w:val="00DE6FFB"/>
    <w:rsid w:val="00DE766B"/>
    <w:rsid w:val="00DF11DE"/>
    <w:rsid w:val="00DF16CA"/>
    <w:rsid w:val="00DF1B93"/>
    <w:rsid w:val="00DF1EC7"/>
    <w:rsid w:val="00DF22DC"/>
    <w:rsid w:val="00DF26A2"/>
    <w:rsid w:val="00DF2A7E"/>
    <w:rsid w:val="00DF3501"/>
    <w:rsid w:val="00DF3D6F"/>
    <w:rsid w:val="00DF424C"/>
    <w:rsid w:val="00DF4951"/>
    <w:rsid w:val="00DF587A"/>
    <w:rsid w:val="00DF5CA9"/>
    <w:rsid w:val="00DF62D7"/>
    <w:rsid w:val="00DF6684"/>
    <w:rsid w:val="00DF6989"/>
    <w:rsid w:val="00DF6D3E"/>
    <w:rsid w:val="00DF76C2"/>
    <w:rsid w:val="00DF780B"/>
    <w:rsid w:val="00DF7A78"/>
    <w:rsid w:val="00DF7D79"/>
    <w:rsid w:val="00E002E7"/>
    <w:rsid w:val="00E006B5"/>
    <w:rsid w:val="00E007D1"/>
    <w:rsid w:val="00E00BD4"/>
    <w:rsid w:val="00E0142A"/>
    <w:rsid w:val="00E0158E"/>
    <w:rsid w:val="00E01672"/>
    <w:rsid w:val="00E01755"/>
    <w:rsid w:val="00E01930"/>
    <w:rsid w:val="00E0207B"/>
    <w:rsid w:val="00E024F1"/>
    <w:rsid w:val="00E02A2F"/>
    <w:rsid w:val="00E02CCB"/>
    <w:rsid w:val="00E02D89"/>
    <w:rsid w:val="00E034CF"/>
    <w:rsid w:val="00E036BB"/>
    <w:rsid w:val="00E03903"/>
    <w:rsid w:val="00E03BFE"/>
    <w:rsid w:val="00E03DAD"/>
    <w:rsid w:val="00E04151"/>
    <w:rsid w:val="00E0476E"/>
    <w:rsid w:val="00E0491A"/>
    <w:rsid w:val="00E0519B"/>
    <w:rsid w:val="00E06815"/>
    <w:rsid w:val="00E0690B"/>
    <w:rsid w:val="00E073BA"/>
    <w:rsid w:val="00E07648"/>
    <w:rsid w:val="00E0786A"/>
    <w:rsid w:val="00E0793C"/>
    <w:rsid w:val="00E07EE4"/>
    <w:rsid w:val="00E1077E"/>
    <w:rsid w:val="00E10D81"/>
    <w:rsid w:val="00E10EE6"/>
    <w:rsid w:val="00E11331"/>
    <w:rsid w:val="00E1142A"/>
    <w:rsid w:val="00E115AC"/>
    <w:rsid w:val="00E11D0C"/>
    <w:rsid w:val="00E11F2E"/>
    <w:rsid w:val="00E12201"/>
    <w:rsid w:val="00E12606"/>
    <w:rsid w:val="00E12BEC"/>
    <w:rsid w:val="00E13262"/>
    <w:rsid w:val="00E139CB"/>
    <w:rsid w:val="00E13BC3"/>
    <w:rsid w:val="00E13E10"/>
    <w:rsid w:val="00E13EAC"/>
    <w:rsid w:val="00E14858"/>
    <w:rsid w:val="00E14B27"/>
    <w:rsid w:val="00E14CCD"/>
    <w:rsid w:val="00E14D82"/>
    <w:rsid w:val="00E14F00"/>
    <w:rsid w:val="00E15088"/>
    <w:rsid w:val="00E152C5"/>
    <w:rsid w:val="00E153CF"/>
    <w:rsid w:val="00E15558"/>
    <w:rsid w:val="00E15A2F"/>
    <w:rsid w:val="00E16589"/>
    <w:rsid w:val="00E166CE"/>
    <w:rsid w:val="00E16995"/>
    <w:rsid w:val="00E16F72"/>
    <w:rsid w:val="00E17E53"/>
    <w:rsid w:val="00E17E79"/>
    <w:rsid w:val="00E2009B"/>
    <w:rsid w:val="00E200A4"/>
    <w:rsid w:val="00E20888"/>
    <w:rsid w:val="00E20BDE"/>
    <w:rsid w:val="00E20F42"/>
    <w:rsid w:val="00E20F9B"/>
    <w:rsid w:val="00E210F5"/>
    <w:rsid w:val="00E215C8"/>
    <w:rsid w:val="00E21CBA"/>
    <w:rsid w:val="00E21F39"/>
    <w:rsid w:val="00E221A9"/>
    <w:rsid w:val="00E22998"/>
    <w:rsid w:val="00E22AB6"/>
    <w:rsid w:val="00E22D29"/>
    <w:rsid w:val="00E2328F"/>
    <w:rsid w:val="00E233FD"/>
    <w:rsid w:val="00E23780"/>
    <w:rsid w:val="00E23FC0"/>
    <w:rsid w:val="00E2411C"/>
    <w:rsid w:val="00E2453A"/>
    <w:rsid w:val="00E24F16"/>
    <w:rsid w:val="00E250AB"/>
    <w:rsid w:val="00E25446"/>
    <w:rsid w:val="00E25FE4"/>
    <w:rsid w:val="00E263F5"/>
    <w:rsid w:val="00E26747"/>
    <w:rsid w:val="00E26AFF"/>
    <w:rsid w:val="00E2712E"/>
    <w:rsid w:val="00E27200"/>
    <w:rsid w:val="00E27500"/>
    <w:rsid w:val="00E2756C"/>
    <w:rsid w:val="00E27A05"/>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049"/>
    <w:rsid w:val="00E352AD"/>
    <w:rsid w:val="00E3538B"/>
    <w:rsid w:val="00E353E5"/>
    <w:rsid w:val="00E357EE"/>
    <w:rsid w:val="00E358BC"/>
    <w:rsid w:val="00E3771E"/>
    <w:rsid w:val="00E37841"/>
    <w:rsid w:val="00E37B31"/>
    <w:rsid w:val="00E403F0"/>
    <w:rsid w:val="00E40BD0"/>
    <w:rsid w:val="00E414FE"/>
    <w:rsid w:val="00E416E1"/>
    <w:rsid w:val="00E41B9F"/>
    <w:rsid w:val="00E42738"/>
    <w:rsid w:val="00E42942"/>
    <w:rsid w:val="00E43382"/>
    <w:rsid w:val="00E44A91"/>
    <w:rsid w:val="00E44C78"/>
    <w:rsid w:val="00E44E07"/>
    <w:rsid w:val="00E44E2E"/>
    <w:rsid w:val="00E453B4"/>
    <w:rsid w:val="00E4611D"/>
    <w:rsid w:val="00E4784D"/>
    <w:rsid w:val="00E4793B"/>
    <w:rsid w:val="00E507D9"/>
    <w:rsid w:val="00E50994"/>
    <w:rsid w:val="00E50AAC"/>
    <w:rsid w:val="00E513DC"/>
    <w:rsid w:val="00E51845"/>
    <w:rsid w:val="00E51982"/>
    <w:rsid w:val="00E51AEC"/>
    <w:rsid w:val="00E52033"/>
    <w:rsid w:val="00E520CE"/>
    <w:rsid w:val="00E5234E"/>
    <w:rsid w:val="00E52AA9"/>
    <w:rsid w:val="00E53347"/>
    <w:rsid w:val="00E53D13"/>
    <w:rsid w:val="00E5464B"/>
    <w:rsid w:val="00E550D2"/>
    <w:rsid w:val="00E558DC"/>
    <w:rsid w:val="00E559B3"/>
    <w:rsid w:val="00E55C8A"/>
    <w:rsid w:val="00E56779"/>
    <w:rsid w:val="00E567FA"/>
    <w:rsid w:val="00E56966"/>
    <w:rsid w:val="00E56C87"/>
    <w:rsid w:val="00E56DE7"/>
    <w:rsid w:val="00E56EAE"/>
    <w:rsid w:val="00E57159"/>
    <w:rsid w:val="00E572C4"/>
    <w:rsid w:val="00E5792F"/>
    <w:rsid w:val="00E57C95"/>
    <w:rsid w:val="00E6008C"/>
    <w:rsid w:val="00E6019E"/>
    <w:rsid w:val="00E602E2"/>
    <w:rsid w:val="00E606A7"/>
    <w:rsid w:val="00E6127B"/>
    <w:rsid w:val="00E61571"/>
    <w:rsid w:val="00E61AFF"/>
    <w:rsid w:val="00E61B1E"/>
    <w:rsid w:val="00E61FDF"/>
    <w:rsid w:val="00E6223A"/>
    <w:rsid w:val="00E62338"/>
    <w:rsid w:val="00E63553"/>
    <w:rsid w:val="00E635F4"/>
    <w:rsid w:val="00E63F9A"/>
    <w:rsid w:val="00E64242"/>
    <w:rsid w:val="00E64280"/>
    <w:rsid w:val="00E64389"/>
    <w:rsid w:val="00E645B0"/>
    <w:rsid w:val="00E64612"/>
    <w:rsid w:val="00E64821"/>
    <w:rsid w:val="00E65419"/>
    <w:rsid w:val="00E6569A"/>
    <w:rsid w:val="00E66260"/>
    <w:rsid w:val="00E66455"/>
    <w:rsid w:val="00E669A8"/>
    <w:rsid w:val="00E66A98"/>
    <w:rsid w:val="00E66F56"/>
    <w:rsid w:val="00E670E3"/>
    <w:rsid w:val="00E6716E"/>
    <w:rsid w:val="00E672EC"/>
    <w:rsid w:val="00E678EC"/>
    <w:rsid w:val="00E678F7"/>
    <w:rsid w:val="00E67AA2"/>
    <w:rsid w:val="00E70034"/>
    <w:rsid w:val="00E70299"/>
    <w:rsid w:val="00E702AC"/>
    <w:rsid w:val="00E704DB"/>
    <w:rsid w:val="00E71063"/>
    <w:rsid w:val="00E712C5"/>
    <w:rsid w:val="00E72197"/>
    <w:rsid w:val="00E724A4"/>
    <w:rsid w:val="00E72637"/>
    <w:rsid w:val="00E72C2E"/>
    <w:rsid w:val="00E7308D"/>
    <w:rsid w:val="00E736D1"/>
    <w:rsid w:val="00E73A95"/>
    <w:rsid w:val="00E73B1F"/>
    <w:rsid w:val="00E73C7F"/>
    <w:rsid w:val="00E7400B"/>
    <w:rsid w:val="00E744AB"/>
    <w:rsid w:val="00E7453A"/>
    <w:rsid w:val="00E74E63"/>
    <w:rsid w:val="00E753D2"/>
    <w:rsid w:val="00E75580"/>
    <w:rsid w:val="00E75800"/>
    <w:rsid w:val="00E75B79"/>
    <w:rsid w:val="00E75EA5"/>
    <w:rsid w:val="00E75F95"/>
    <w:rsid w:val="00E767E5"/>
    <w:rsid w:val="00E76C09"/>
    <w:rsid w:val="00E779B7"/>
    <w:rsid w:val="00E77A64"/>
    <w:rsid w:val="00E77A79"/>
    <w:rsid w:val="00E77BB2"/>
    <w:rsid w:val="00E77CB2"/>
    <w:rsid w:val="00E80382"/>
    <w:rsid w:val="00E80BE1"/>
    <w:rsid w:val="00E80F28"/>
    <w:rsid w:val="00E80F80"/>
    <w:rsid w:val="00E811A5"/>
    <w:rsid w:val="00E81BF5"/>
    <w:rsid w:val="00E823D4"/>
    <w:rsid w:val="00E82656"/>
    <w:rsid w:val="00E82660"/>
    <w:rsid w:val="00E826E6"/>
    <w:rsid w:val="00E82ACB"/>
    <w:rsid w:val="00E82ADC"/>
    <w:rsid w:val="00E82AF2"/>
    <w:rsid w:val="00E8318F"/>
    <w:rsid w:val="00E836CD"/>
    <w:rsid w:val="00E846A3"/>
    <w:rsid w:val="00E846F8"/>
    <w:rsid w:val="00E8506D"/>
    <w:rsid w:val="00E854F4"/>
    <w:rsid w:val="00E85BBF"/>
    <w:rsid w:val="00E85F71"/>
    <w:rsid w:val="00E868D4"/>
    <w:rsid w:val="00E87208"/>
    <w:rsid w:val="00E8761E"/>
    <w:rsid w:val="00E87655"/>
    <w:rsid w:val="00E877AE"/>
    <w:rsid w:val="00E87DD3"/>
    <w:rsid w:val="00E900C4"/>
    <w:rsid w:val="00E913B5"/>
    <w:rsid w:val="00E91975"/>
    <w:rsid w:val="00E91BC4"/>
    <w:rsid w:val="00E92063"/>
    <w:rsid w:val="00E92762"/>
    <w:rsid w:val="00E92B9C"/>
    <w:rsid w:val="00E92E38"/>
    <w:rsid w:val="00E94C6A"/>
    <w:rsid w:val="00E952C7"/>
    <w:rsid w:val="00E9536D"/>
    <w:rsid w:val="00E96044"/>
    <w:rsid w:val="00E96979"/>
    <w:rsid w:val="00E96A34"/>
    <w:rsid w:val="00E97769"/>
    <w:rsid w:val="00E97A27"/>
    <w:rsid w:val="00E97D58"/>
    <w:rsid w:val="00EA031E"/>
    <w:rsid w:val="00EA0479"/>
    <w:rsid w:val="00EA086F"/>
    <w:rsid w:val="00EA0899"/>
    <w:rsid w:val="00EA0B59"/>
    <w:rsid w:val="00EA0E43"/>
    <w:rsid w:val="00EA0F56"/>
    <w:rsid w:val="00EA0FD5"/>
    <w:rsid w:val="00EA13BA"/>
    <w:rsid w:val="00EA1662"/>
    <w:rsid w:val="00EA1BC3"/>
    <w:rsid w:val="00EA1F56"/>
    <w:rsid w:val="00EA2618"/>
    <w:rsid w:val="00EA265B"/>
    <w:rsid w:val="00EA3134"/>
    <w:rsid w:val="00EA33EB"/>
    <w:rsid w:val="00EA34D1"/>
    <w:rsid w:val="00EA35C7"/>
    <w:rsid w:val="00EA37AC"/>
    <w:rsid w:val="00EA3F5B"/>
    <w:rsid w:val="00EA446F"/>
    <w:rsid w:val="00EA48C8"/>
    <w:rsid w:val="00EA4ED8"/>
    <w:rsid w:val="00EA5453"/>
    <w:rsid w:val="00EA566E"/>
    <w:rsid w:val="00EA5801"/>
    <w:rsid w:val="00EA5D79"/>
    <w:rsid w:val="00EA6878"/>
    <w:rsid w:val="00EA6959"/>
    <w:rsid w:val="00EA6C6E"/>
    <w:rsid w:val="00EA6D15"/>
    <w:rsid w:val="00EA776C"/>
    <w:rsid w:val="00EA7B3F"/>
    <w:rsid w:val="00EA7EA2"/>
    <w:rsid w:val="00EB00B3"/>
    <w:rsid w:val="00EB03E4"/>
    <w:rsid w:val="00EB0990"/>
    <w:rsid w:val="00EB09C9"/>
    <w:rsid w:val="00EB16B2"/>
    <w:rsid w:val="00EB2532"/>
    <w:rsid w:val="00EB2ED8"/>
    <w:rsid w:val="00EB341D"/>
    <w:rsid w:val="00EB3740"/>
    <w:rsid w:val="00EB39B4"/>
    <w:rsid w:val="00EB3DA7"/>
    <w:rsid w:val="00EB3EE7"/>
    <w:rsid w:val="00EB401F"/>
    <w:rsid w:val="00EB46D7"/>
    <w:rsid w:val="00EB50F0"/>
    <w:rsid w:val="00EB556F"/>
    <w:rsid w:val="00EB564D"/>
    <w:rsid w:val="00EB58A5"/>
    <w:rsid w:val="00EB62B8"/>
    <w:rsid w:val="00EB63C9"/>
    <w:rsid w:val="00EB6455"/>
    <w:rsid w:val="00EB6781"/>
    <w:rsid w:val="00EB6D9F"/>
    <w:rsid w:val="00EB74D7"/>
    <w:rsid w:val="00EB78D8"/>
    <w:rsid w:val="00EB79E1"/>
    <w:rsid w:val="00EB7AAE"/>
    <w:rsid w:val="00EB7FCE"/>
    <w:rsid w:val="00EC0050"/>
    <w:rsid w:val="00EC08ED"/>
    <w:rsid w:val="00EC0EC0"/>
    <w:rsid w:val="00EC1BCA"/>
    <w:rsid w:val="00EC1DE0"/>
    <w:rsid w:val="00EC20F5"/>
    <w:rsid w:val="00EC2B98"/>
    <w:rsid w:val="00EC2D64"/>
    <w:rsid w:val="00EC377F"/>
    <w:rsid w:val="00EC3BE2"/>
    <w:rsid w:val="00EC42EE"/>
    <w:rsid w:val="00EC483D"/>
    <w:rsid w:val="00EC48D1"/>
    <w:rsid w:val="00EC4F70"/>
    <w:rsid w:val="00EC56BD"/>
    <w:rsid w:val="00EC59A0"/>
    <w:rsid w:val="00EC6165"/>
    <w:rsid w:val="00EC61C9"/>
    <w:rsid w:val="00EC6518"/>
    <w:rsid w:val="00EC696C"/>
    <w:rsid w:val="00EC6A25"/>
    <w:rsid w:val="00EC6C38"/>
    <w:rsid w:val="00EC707B"/>
    <w:rsid w:val="00EC73DF"/>
    <w:rsid w:val="00ED039D"/>
    <w:rsid w:val="00ED0939"/>
    <w:rsid w:val="00ED0C60"/>
    <w:rsid w:val="00ED0F6D"/>
    <w:rsid w:val="00ED1613"/>
    <w:rsid w:val="00ED204B"/>
    <w:rsid w:val="00ED21FE"/>
    <w:rsid w:val="00ED23A2"/>
    <w:rsid w:val="00ED279E"/>
    <w:rsid w:val="00ED2A9C"/>
    <w:rsid w:val="00ED36A7"/>
    <w:rsid w:val="00ED3982"/>
    <w:rsid w:val="00ED40E2"/>
    <w:rsid w:val="00ED44B9"/>
    <w:rsid w:val="00ED5D6B"/>
    <w:rsid w:val="00ED5E5D"/>
    <w:rsid w:val="00ED6F01"/>
    <w:rsid w:val="00ED71F1"/>
    <w:rsid w:val="00ED7CE7"/>
    <w:rsid w:val="00EE02A3"/>
    <w:rsid w:val="00EE0986"/>
    <w:rsid w:val="00EE0B19"/>
    <w:rsid w:val="00EE0F99"/>
    <w:rsid w:val="00EE1031"/>
    <w:rsid w:val="00EE10E0"/>
    <w:rsid w:val="00EE1921"/>
    <w:rsid w:val="00EE2080"/>
    <w:rsid w:val="00EE271C"/>
    <w:rsid w:val="00EE28D7"/>
    <w:rsid w:val="00EE2967"/>
    <w:rsid w:val="00EE2B46"/>
    <w:rsid w:val="00EE38C8"/>
    <w:rsid w:val="00EE3F9E"/>
    <w:rsid w:val="00EE43F3"/>
    <w:rsid w:val="00EE48F5"/>
    <w:rsid w:val="00EE4CEF"/>
    <w:rsid w:val="00EE52DF"/>
    <w:rsid w:val="00EE5E93"/>
    <w:rsid w:val="00EE74F3"/>
    <w:rsid w:val="00EE754C"/>
    <w:rsid w:val="00EF04A8"/>
    <w:rsid w:val="00EF0908"/>
    <w:rsid w:val="00EF0D50"/>
    <w:rsid w:val="00EF1150"/>
    <w:rsid w:val="00EF1519"/>
    <w:rsid w:val="00EF1700"/>
    <w:rsid w:val="00EF1944"/>
    <w:rsid w:val="00EF2AD4"/>
    <w:rsid w:val="00EF30F5"/>
    <w:rsid w:val="00EF387F"/>
    <w:rsid w:val="00EF3CDA"/>
    <w:rsid w:val="00EF44D2"/>
    <w:rsid w:val="00EF5115"/>
    <w:rsid w:val="00EF516A"/>
    <w:rsid w:val="00EF520C"/>
    <w:rsid w:val="00EF529C"/>
    <w:rsid w:val="00EF5607"/>
    <w:rsid w:val="00EF56A1"/>
    <w:rsid w:val="00EF5A18"/>
    <w:rsid w:val="00EF5CE1"/>
    <w:rsid w:val="00EF6349"/>
    <w:rsid w:val="00EF74BC"/>
    <w:rsid w:val="00EF77B2"/>
    <w:rsid w:val="00EF79D0"/>
    <w:rsid w:val="00EF7ADD"/>
    <w:rsid w:val="00EF7C1C"/>
    <w:rsid w:val="00EF7DD6"/>
    <w:rsid w:val="00F00847"/>
    <w:rsid w:val="00F00B41"/>
    <w:rsid w:val="00F00BC5"/>
    <w:rsid w:val="00F00EB9"/>
    <w:rsid w:val="00F01177"/>
    <w:rsid w:val="00F015E4"/>
    <w:rsid w:val="00F01A45"/>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58D6"/>
    <w:rsid w:val="00F065FD"/>
    <w:rsid w:val="00F06B59"/>
    <w:rsid w:val="00F06CC2"/>
    <w:rsid w:val="00F07271"/>
    <w:rsid w:val="00F078D4"/>
    <w:rsid w:val="00F07B76"/>
    <w:rsid w:val="00F07DEF"/>
    <w:rsid w:val="00F10A52"/>
    <w:rsid w:val="00F11587"/>
    <w:rsid w:val="00F11909"/>
    <w:rsid w:val="00F11A28"/>
    <w:rsid w:val="00F11FAB"/>
    <w:rsid w:val="00F12291"/>
    <w:rsid w:val="00F138AD"/>
    <w:rsid w:val="00F13EB6"/>
    <w:rsid w:val="00F148A4"/>
    <w:rsid w:val="00F153ED"/>
    <w:rsid w:val="00F1560E"/>
    <w:rsid w:val="00F1579F"/>
    <w:rsid w:val="00F158F8"/>
    <w:rsid w:val="00F15F18"/>
    <w:rsid w:val="00F164B3"/>
    <w:rsid w:val="00F16D67"/>
    <w:rsid w:val="00F16F6B"/>
    <w:rsid w:val="00F16F9D"/>
    <w:rsid w:val="00F17580"/>
    <w:rsid w:val="00F17897"/>
    <w:rsid w:val="00F17A04"/>
    <w:rsid w:val="00F17BDF"/>
    <w:rsid w:val="00F20273"/>
    <w:rsid w:val="00F20B35"/>
    <w:rsid w:val="00F21081"/>
    <w:rsid w:val="00F21388"/>
    <w:rsid w:val="00F2140B"/>
    <w:rsid w:val="00F21581"/>
    <w:rsid w:val="00F2197B"/>
    <w:rsid w:val="00F219EB"/>
    <w:rsid w:val="00F225A3"/>
    <w:rsid w:val="00F225ED"/>
    <w:rsid w:val="00F225F6"/>
    <w:rsid w:val="00F22898"/>
    <w:rsid w:val="00F22F28"/>
    <w:rsid w:val="00F236A1"/>
    <w:rsid w:val="00F236A2"/>
    <w:rsid w:val="00F23B0C"/>
    <w:rsid w:val="00F24137"/>
    <w:rsid w:val="00F24215"/>
    <w:rsid w:val="00F2424F"/>
    <w:rsid w:val="00F24437"/>
    <w:rsid w:val="00F2485E"/>
    <w:rsid w:val="00F24A31"/>
    <w:rsid w:val="00F2544C"/>
    <w:rsid w:val="00F263BC"/>
    <w:rsid w:val="00F27308"/>
    <w:rsid w:val="00F273B9"/>
    <w:rsid w:val="00F27603"/>
    <w:rsid w:val="00F27A71"/>
    <w:rsid w:val="00F3006C"/>
    <w:rsid w:val="00F3099A"/>
    <w:rsid w:val="00F30DFD"/>
    <w:rsid w:val="00F31104"/>
    <w:rsid w:val="00F31E50"/>
    <w:rsid w:val="00F32EE3"/>
    <w:rsid w:val="00F3371E"/>
    <w:rsid w:val="00F3382E"/>
    <w:rsid w:val="00F33A2E"/>
    <w:rsid w:val="00F33DF9"/>
    <w:rsid w:val="00F33EE6"/>
    <w:rsid w:val="00F3410F"/>
    <w:rsid w:val="00F345B0"/>
    <w:rsid w:val="00F34863"/>
    <w:rsid w:val="00F34A2A"/>
    <w:rsid w:val="00F34A58"/>
    <w:rsid w:val="00F34BBC"/>
    <w:rsid w:val="00F34F20"/>
    <w:rsid w:val="00F35956"/>
    <w:rsid w:val="00F359A9"/>
    <w:rsid w:val="00F35AFA"/>
    <w:rsid w:val="00F35C6D"/>
    <w:rsid w:val="00F36AEB"/>
    <w:rsid w:val="00F36E38"/>
    <w:rsid w:val="00F37230"/>
    <w:rsid w:val="00F37A66"/>
    <w:rsid w:val="00F37FC1"/>
    <w:rsid w:val="00F405F8"/>
    <w:rsid w:val="00F40600"/>
    <w:rsid w:val="00F4077C"/>
    <w:rsid w:val="00F40DB6"/>
    <w:rsid w:val="00F41194"/>
    <w:rsid w:val="00F4141C"/>
    <w:rsid w:val="00F417AA"/>
    <w:rsid w:val="00F41AB8"/>
    <w:rsid w:val="00F42408"/>
    <w:rsid w:val="00F42B6B"/>
    <w:rsid w:val="00F42DC5"/>
    <w:rsid w:val="00F42E10"/>
    <w:rsid w:val="00F4362D"/>
    <w:rsid w:val="00F43E46"/>
    <w:rsid w:val="00F4416B"/>
    <w:rsid w:val="00F44CC6"/>
    <w:rsid w:val="00F453D5"/>
    <w:rsid w:val="00F458C7"/>
    <w:rsid w:val="00F45A2D"/>
    <w:rsid w:val="00F46BC6"/>
    <w:rsid w:val="00F46ECF"/>
    <w:rsid w:val="00F474A5"/>
    <w:rsid w:val="00F50837"/>
    <w:rsid w:val="00F50C8A"/>
    <w:rsid w:val="00F510E7"/>
    <w:rsid w:val="00F52218"/>
    <w:rsid w:val="00F52436"/>
    <w:rsid w:val="00F52527"/>
    <w:rsid w:val="00F5270F"/>
    <w:rsid w:val="00F5296B"/>
    <w:rsid w:val="00F52DFB"/>
    <w:rsid w:val="00F535E9"/>
    <w:rsid w:val="00F53978"/>
    <w:rsid w:val="00F53D8A"/>
    <w:rsid w:val="00F545BA"/>
    <w:rsid w:val="00F5468C"/>
    <w:rsid w:val="00F54DEE"/>
    <w:rsid w:val="00F54E29"/>
    <w:rsid w:val="00F5532E"/>
    <w:rsid w:val="00F556E7"/>
    <w:rsid w:val="00F55BC5"/>
    <w:rsid w:val="00F55D61"/>
    <w:rsid w:val="00F55ECA"/>
    <w:rsid w:val="00F56296"/>
    <w:rsid w:val="00F56A15"/>
    <w:rsid w:val="00F56B8E"/>
    <w:rsid w:val="00F56CA0"/>
    <w:rsid w:val="00F56F10"/>
    <w:rsid w:val="00F56F90"/>
    <w:rsid w:val="00F57220"/>
    <w:rsid w:val="00F57DAF"/>
    <w:rsid w:val="00F608C2"/>
    <w:rsid w:val="00F60E5F"/>
    <w:rsid w:val="00F611CD"/>
    <w:rsid w:val="00F6221B"/>
    <w:rsid w:val="00F62522"/>
    <w:rsid w:val="00F6275C"/>
    <w:rsid w:val="00F629D9"/>
    <w:rsid w:val="00F62BA2"/>
    <w:rsid w:val="00F6363F"/>
    <w:rsid w:val="00F6380B"/>
    <w:rsid w:val="00F63822"/>
    <w:rsid w:val="00F638D4"/>
    <w:rsid w:val="00F63D70"/>
    <w:rsid w:val="00F63F77"/>
    <w:rsid w:val="00F65041"/>
    <w:rsid w:val="00F651B3"/>
    <w:rsid w:val="00F655AB"/>
    <w:rsid w:val="00F65653"/>
    <w:rsid w:val="00F65C60"/>
    <w:rsid w:val="00F65FA9"/>
    <w:rsid w:val="00F65FD3"/>
    <w:rsid w:val="00F667F1"/>
    <w:rsid w:val="00F66941"/>
    <w:rsid w:val="00F669B4"/>
    <w:rsid w:val="00F66B11"/>
    <w:rsid w:val="00F66C07"/>
    <w:rsid w:val="00F674B9"/>
    <w:rsid w:val="00F70148"/>
    <w:rsid w:val="00F70921"/>
    <w:rsid w:val="00F70A0E"/>
    <w:rsid w:val="00F70EA0"/>
    <w:rsid w:val="00F712AD"/>
    <w:rsid w:val="00F713CF"/>
    <w:rsid w:val="00F718DB"/>
    <w:rsid w:val="00F71EA8"/>
    <w:rsid w:val="00F71FB6"/>
    <w:rsid w:val="00F72238"/>
    <w:rsid w:val="00F723BF"/>
    <w:rsid w:val="00F7278A"/>
    <w:rsid w:val="00F729D4"/>
    <w:rsid w:val="00F72A2B"/>
    <w:rsid w:val="00F731B5"/>
    <w:rsid w:val="00F73B01"/>
    <w:rsid w:val="00F73F95"/>
    <w:rsid w:val="00F73FAF"/>
    <w:rsid w:val="00F7416C"/>
    <w:rsid w:val="00F74BA4"/>
    <w:rsid w:val="00F75067"/>
    <w:rsid w:val="00F751C2"/>
    <w:rsid w:val="00F75211"/>
    <w:rsid w:val="00F7545E"/>
    <w:rsid w:val="00F75551"/>
    <w:rsid w:val="00F7561A"/>
    <w:rsid w:val="00F7610B"/>
    <w:rsid w:val="00F76322"/>
    <w:rsid w:val="00F76669"/>
    <w:rsid w:val="00F76E70"/>
    <w:rsid w:val="00F76F31"/>
    <w:rsid w:val="00F77290"/>
    <w:rsid w:val="00F800D4"/>
    <w:rsid w:val="00F8047F"/>
    <w:rsid w:val="00F807D9"/>
    <w:rsid w:val="00F80A54"/>
    <w:rsid w:val="00F80C82"/>
    <w:rsid w:val="00F80D47"/>
    <w:rsid w:val="00F80E6D"/>
    <w:rsid w:val="00F8139C"/>
    <w:rsid w:val="00F819F8"/>
    <w:rsid w:val="00F81A12"/>
    <w:rsid w:val="00F81C97"/>
    <w:rsid w:val="00F81DDF"/>
    <w:rsid w:val="00F82943"/>
    <w:rsid w:val="00F8352F"/>
    <w:rsid w:val="00F8374C"/>
    <w:rsid w:val="00F83B3E"/>
    <w:rsid w:val="00F83F22"/>
    <w:rsid w:val="00F840BB"/>
    <w:rsid w:val="00F842AB"/>
    <w:rsid w:val="00F84CBD"/>
    <w:rsid w:val="00F85A0C"/>
    <w:rsid w:val="00F861E4"/>
    <w:rsid w:val="00F86220"/>
    <w:rsid w:val="00F8688F"/>
    <w:rsid w:val="00F86DDB"/>
    <w:rsid w:val="00F86F45"/>
    <w:rsid w:val="00F8714D"/>
    <w:rsid w:val="00F87354"/>
    <w:rsid w:val="00F877EF"/>
    <w:rsid w:val="00F877F6"/>
    <w:rsid w:val="00F90090"/>
    <w:rsid w:val="00F90792"/>
    <w:rsid w:val="00F908A9"/>
    <w:rsid w:val="00F90E2D"/>
    <w:rsid w:val="00F9152F"/>
    <w:rsid w:val="00F915E9"/>
    <w:rsid w:val="00F91671"/>
    <w:rsid w:val="00F928E5"/>
    <w:rsid w:val="00F92E27"/>
    <w:rsid w:val="00F933B1"/>
    <w:rsid w:val="00F939D7"/>
    <w:rsid w:val="00F93A1F"/>
    <w:rsid w:val="00F93D74"/>
    <w:rsid w:val="00F94078"/>
    <w:rsid w:val="00F94586"/>
    <w:rsid w:val="00F94F2F"/>
    <w:rsid w:val="00F95229"/>
    <w:rsid w:val="00F95946"/>
    <w:rsid w:val="00F966C5"/>
    <w:rsid w:val="00F973BC"/>
    <w:rsid w:val="00F9746F"/>
    <w:rsid w:val="00F97677"/>
    <w:rsid w:val="00F977DA"/>
    <w:rsid w:val="00F97928"/>
    <w:rsid w:val="00F97C14"/>
    <w:rsid w:val="00FA0735"/>
    <w:rsid w:val="00FA09E8"/>
    <w:rsid w:val="00FA0A08"/>
    <w:rsid w:val="00FA0C47"/>
    <w:rsid w:val="00FA0F2D"/>
    <w:rsid w:val="00FA17E4"/>
    <w:rsid w:val="00FA1AA5"/>
    <w:rsid w:val="00FA1B04"/>
    <w:rsid w:val="00FA24FF"/>
    <w:rsid w:val="00FA25F7"/>
    <w:rsid w:val="00FA2A79"/>
    <w:rsid w:val="00FA2EBC"/>
    <w:rsid w:val="00FA301D"/>
    <w:rsid w:val="00FA34D4"/>
    <w:rsid w:val="00FA3597"/>
    <w:rsid w:val="00FA41E3"/>
    <w:rsid w:val="00FA4254"/>
    <w:rsid w:val="00FA4C05"/>
    <w:rsid w:val="00FA4EF7"/>
    <w:rsid w:val="00FA5315"/>
    <w:rsid w:val="00FA5A34"/>
    <w:rsid w:val="00FA5BE8"/>
    <w:rsid w:val="00FA6026"/>
    <w:rsid w:val="00FA61F6"/>
    <w:rsid w:val="00FA6423"/>
    <w:rsid w:val="00FA66A4"/>
    <w:rsid w:val="00FA675E"/>
    <w:rsid w:val="00FA6976"/>
    <w:rsid w:val="00FA6C56"/>
    <w:rsid w:val="00FA7128"/>
    <w:rsid w:val="00FA7268"/>
    <w:rsid w:val="00FA7389"/>
    <w:rsid w:val="00FA7929"/>
    <w:rsid w:val="00FA7AEC"/>
    <w:rsid w:val="00FA7D9C"/>
    <w:rsid w:val="00FA7E57"/>
    <w:rsid w:val="00FA7EEB"/>
    <w:rsid w:val="00FB069A"/>
    <w:rsid w:val="00FB0804"/>
    <w:rsid w:val="00FB09D6"/>
    <w:rsid w:val="00FB0C9C"/>
    <w:rsid w:val="00FB1736"/>
    <w:rsid w:val="00FB1DB9"/>
    <w:rsid w:val="00FB2271"/>
    <w:rsid w:val="00FB2BD6"/>
    <w:rsid w:val="00FB2CCC"/>
    <w:rsid w:val="00FB2E05"/>
    <w:rsid w:val="00FB2E26"/>
    <w:rsid w:val="00FB33E8"/>
    <w:rsid w:val="00FB35CD"/>
    <w:rsid w:val="00FB3AA2"/>
    <w:rsid w:val="00FB3E3E"/>
    <w:rsid w:val="00FB4C3F"/>
    <w:rsid w:val="00FB5486"/>
    <w:rsid w:val="00FB5489"/>
    <w:rsid w:val="00FB563E"/>
    <w:rsid w:val="00FB632F"/>
    <w:rsid w:val="00FB68A7"/>
    <w:rsid w:val="00FB6C61"/>
    <w:rsid w:val="00FB71FB"/>
    <w:rsid w:val="00FB7BB8"/>
    <w:rsid w:val="00FB7FD4"/>
    <w:rsid w:val="00FC0584"/>
    <w:rsid w:val="00FC0605"/>
    <w:rsid w:val="00FC0740"/>
    <w:rsid w:val="00FC1028"/>
    <w:rsid w:val="00FC1466"/>
    <w:rsid w:val="00FC1A82"/>
    <w:rsid w:val="00FC1D1F"/>
    <w:rsid w:val="00FC2222"/>
    <w:rsid w:val="00FC2A96"/>
    <w:rsid w:val="00FC2D03"/>
    <w:rsid w:val="00FC2EA8"/>
    <w:rsid w:val="00FC2F94"/>
    <w:rsid w:val="00FC3031"/>
    <w:rsid w:val="00FC3EA0"/>
    <w:rsid w:val="00FC3FF1"/>
    <w:rsid w:val="00FC41F6"/>
    <w:rsid w:val="00FC4688"/>
    <w:rsid w:val="00FC4E7D"/>
    <w:rsid w:val="00FC5031"/>
    <w:rsid w:val="00FC5691"/>
    <w:rsid w:val="00FC56A7"/>
    <w:rsid w:val="00FC58F2"/>
    <w:rsid w:val="00FC5BF8"/>
    <w:rsid w:val="00FC61AD"/>
    <w:rsid w:val="00FC61DE"/>
    <w:rsid w:val="00FC6823"/>
    <w:rsid w:val="00FC707F"/>
    <w:rsid w:val="00FC7686"/>
    <w:rsid w:val="00FC76DA"/>
    <w:rsid w:val="00FC79F7"/>
    <w:rsid w:val="00FC7C09"/>
    <w:rsid w:val="00FD056F"/>
    <w:rsid w:val="00FD05D9"/>
    <w:rsid w:val="00FD07D3"/>
    <w:rsid w:val="00FD0AA4"/>
    <w:rsid w:val="00FD0BBB"/>
    <w:rsid w:val="00FD0CEE"/>
    <w:rsid w:val="00FD121D"/>
    <w:rsid w:val="00FD1506"/>
    <w:rsid w:val="00FD163F"/>
    <w:rsid w:val="00FD180C"/>
    <w:rsid w:val="00FD1DAE"/>
    <w:rsid w:val="00FD2278"/>
    <w:rsid w:val="00FD24D0"/>
    <w:rsid w:val="00FD27E6"/>
    <w:rsid w:val="00FD2F00"/>
    <w:rsid w:val="00FD2FF2"/>
    <w:rsid w:val="00FD3179"/>
    <w:rsid w:val="00FD35DF"/>
    <w:rsid w:val="00FD42FD"/>
    <w:rsid w:val="00FD49BE"/>
    <w:rsid w:val="00FD51B7"/>
    <w:rsid w:val="00FD5AF6"/>
    <w:rsid w:val="00FD65BA"/>
    <w:rsid w:val="00FD68CD"/>
    <w:rsid w:val="00FD6BC0"/>
    <w:rsid w:val="00FD6D59"/>
    <w:rsid w:val="00FD7002"/>
    <w:rsid w:val="00FD7710"/>
    <w:rsid w:val="00FD7C3D"/>
    <w:rsid w:val="00FE0C4F"/>
    <w:rsid w:val="00FE197B"/>
    <w:rsid w:val="00FE1A47"/>
    <w:rsid w:val="00FE1B24"/>
    <w:rsid w:val="00FE2E9A"/>
    <w:rsid w:val="00FE3171"/>
    <w:rsid w:val="00FE34E4"/>
    <w:rsid w:val="00FE3BAD"/>
    <w:rsid w:val="00FE3E59"/>
    <w:rsid w:val="00FE4081"/>
    <w:rsid w:val="00FE4372"/>
    <w:rsid w:val="00FE4BB6"/>
    <w:rsid w:val="00FE4D0B"/>
    <w:rsid w:val="00FE4DBA"/>
    <w:rsid w:val="00FE4F9B"/>
    <w:rsid w:val="00FE5345"/>
    <w:rsid w:val="00FE553F"/>
    <w:rsid w:val="00FE5AE8"/>
    <w:rsid w:val="00FE5E9F"/>
    <w:rsid w:val="00FE5F9F"/>
    <w:rsid w:val="00FE7273"/>
    <w:rsid w:val="00FE7391"/>
    <w:rsid w:val="00FE7DB8"/>
    <w:rsid w:val="00FF0208"/>
    <w:rsid w:val="00FF04B9"/>
    <w:rsid w:val="00FF09A2"/>
    <w:rsid w:val="00FF0BD5"/>
    <w:rsid w:val="00FF160F"/>
    <w:rsid w:val="00FF24DE"/>
    <w:rsid w:val="00FF2B8E"/>
    <w:rsid w:val="00FF3506"/>
    <w:rsid w:val="00FF37E1"/>
    <w:rsid w:val="00FF39C1"/>
    <w:rsid w:val="00FF4DB4"/>
    <w:rsid w:val="00FF503F"/>
    <w:rsid w:val="00FF5104"/>
    <w:rsid w:val="00FF596C"/>
    <w:rsid w:val="00FF5A1A"/>
    <w:rsid w:val="00FF5BBD"/>
    <w:rsid w:val="00FF5C98"/>
    <w:rsid w:val="00FF5F73"/>
    <w:rsid w:val="00FF624B"/>
    <w:rsid w:val="00FF69CA"/>
    <w:rsid w:val="00FF6B98"/>
    <w:rsid w:val="00FF7623"/>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61"/>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semiHidden/>
    <w:unhideWhenUsed/>
    <w:rsid w:val="00082E65"/>
    <w:rPr>
      <w:sz w:val="20"/>
      <w:szCs w:val="20"/>
    </w:rPr>
  </w:style>
  <w:style w:type="character" w:customStyle="1" w:styleId="TextocomentarioCar">
    <w:name w:val="Texto comentario Car"/>
    <w:basedOn w:val="Fuentedeprrafopredeter"/>
    <w:link w:val="Textocomentario"/>
    <w:uiPriority w:val="99"/>
    <w:semiHidden/>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10988100">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936333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056320229">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173185968">
      <w:bodyDiv w:val="1"/>
      <w:marLeft w:val="0"/>
      <w:marRight w:val="0"/>
      <w:marTop w:val="0"/>
      <w:marBottom w:val="0"/>
      <w:divBdr>
        <w:top w:val="none" w:sz="0" w:space="0" w:color="auto"/>
        <w:left w:val="none" w:sz="0" w:space="0" w:color="auto"/>
        <w:bottom w:val="none" w:sz="0" w:space="0" w:color="auto"/>
        <w:right w:val="none" w:sz="0" w:space="0" w:color="auto"/>
      </w:divBdr>
    </w:div>
    <w:div w:id="1192300847">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18152572">
      <w:bodyDiv w:val="1"/>
      <w:marLeft w:val="0"/>
      <w:marRight w:val="0"/>
      <w:marTop w:val="0"/>
      <w:marBottom w:val="0"/>
      <w:divBdr>
        <w:top w:val="none" w:sz="0" w:space="0" w:color="auto"/>
        <w:left w:val="none" w:sz="0" w:space="0" w:color="auto"/>
        <w:bottom w:val="none" w:sz="0" w:space="0" w:color="auto"/>
        <w:right w:val="none" w:sz="0" w:space="0" w:color="auto"/>
      </w:divBdr>
    </w:div>
    <w:div w:id="135523330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460567963">
      <w:bodyDiv w:val="1"/>
      <w:marLeft w:val="0"/>
      <w:marRight w:val="0"/>
      <w:marTop w:val="0"/>
      <w:marBottom w:val="0"/>
      <w:divBdr>
        <w:top w:val="none" w:sz="0" w:space="0" w:color="auto"/>
        <w:left w:val="none" w:sz="0" w:space="0" w:color="auto"/>
        <w:bottom w:val="none" w:sz="0" w:space="0" w:color="auto"/>
        <w:right w:val="none" w:sz="0" w:space="0" w:color="auto"/>
      </w:divBdr>
    </w:div>
    <w:div w:id="1569417460">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72046326">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35686885">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22448748">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1966697060">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09497222">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chart" Target="charts/chart11.xml"/><Relationship Id="rId21" Type="http://schemas.microsoft.com/office/2007/relationships/diagramDrawing" Target="diagrams/drawing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6.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chart" Target="charts/chart9.xml"/><Relationship Id="rId37" Type="http://schemas.openxmlformats.org/officeDocument/2006/relationships/diagramColors" Target="diagrams/colors4.xml"/><Relationship Id="rId40" Type="http://schemas.openxmlformats.org/officeDocument/2006/relationships/chart" Target="charts/chart12.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microsoft.com/office/2007/relationships/diagramDrawing" Target="diagrams/drawing3.xml"/><Relationship Id="rId36" Type="http://schemas.openxmlformats.org/officeDocument/2006/relationships/diagramQuickStyle" Target="diagrams/quickStyle4.xml"/><Relationship Id="rId49"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chart" Target="charts/chart8.xml"/><Relationship Id="rId4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diagramColors" Target="diagrams/colors3.xml"/><Relationship Id="rId30" Type="http://schemas.openxmlformats.org/officeDocument/2006/relationships/chart" Target="charts/chart7.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chart" Target="charts/chart10.xml"/><Relationship Id="rId38" Type="http://schemas.microsoft.com/office/2007/relationships/diagramDrawing" Target="diagrams/drawing4.xml"/><Relationship Id="rId46" Type="http://schemas.openxmlformats.org/officeDocument/2006/relationships/header" Target="header1.xml"/><Relationship Id="rId20" Type="http://schemas.openxmlformats.org/officeDocument/2006/relationships/diagramColors" Target="diagrams/colors2.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a:t>Ingresos</a:t>
            </a:r>
            <a:r>
              <a:rPr lang="es-GT" sz="1200" baseline="0"/>
              <a:t> Totales</a:t>
            </a:r>
          </a:p>
          <a:p>
            <a:pPr>
              <a:defRPr sz="900">
                <a:solidFill>
                  <a:sysClr val="windowText" lastClr="000000"/>
                </a:solidFill>
              </a:defRPr>
            </a:pPr>
            <a:r>
              <a:rPr lang="es-GT" sz="1100" baseline="0"/>
              <a:t>Variación interanual acumulada al 31 de diciembre de cada año</a:t>
            </a:r>
          </a:p>
          <a:p>
            <a:pPr>
              <a:defRPr sz="900">
                <a:solidFill>
                  <a:sysClr val="windowText" lastClr="000000"/>
                </a:solidFill>
              </a:defRPr>
            </a:pPr>
            <a:r>
              <a:rPr lang="es-GT" sz="1000" b="0" baseline="0"/>
              <a:t>En porcentajes</a:t>
            </a:r>
            <a:endParaRPr lang="es-GT" sz="1000" b="0"/>
          </a:p>
        </c:rich>
      </c:tx>
      <c:layout>
        <c:manualLayout>
          <c:xMode val="edge"/>
          <c:yMode val="edge"/>
          <c:x val="0.1971785483523584"/>
          <c:y val="0"/>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5.0673161848705683E-2"/>
          <c:y val="0.3121558710270706"/>
          <c:w val="1"/>
          <c:h val="0.36649911959412507"/>
        </c:manualLayout>
      </c:layout>
      <c:barChart>
        <c:barDir val="col"/>
        <c:grouping val="clustered"/>
        <c:varyColors val="0"/>
        <c:ser>
          <c:idx val="0"/>
          <c:order val="1"/>
          <c:tx>
            <c:strRef>
              <c:f>Hoja1!$D$1</c:f>
              <c:strCache>
                <c:ptCount val="1"/>
                <c:pt idx="0">
                  <c:v>2020</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4.5024763619990991E-3"/>
                  <c:y val="-2.0356234096692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E-4F11-B795-3C8DE4243CFB}"/>
                </c:ext>
              </c:extLst>
            </c:dLbl>
            <c:dLbl>
              <c:idx val="1"/>
              <c:layout>
                <c:manualLayout>
                  <c:x val="0"/>
                  <c:y val="-1.017811704834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070-A5FD-52761F3A4378}"/>
                </c:ext>
              </c:extLst>
            </c:dLbl>
            <c:dLbl>
              <c:idx val="2"/>
              <c:tx>
                <c:rich>
                  <a:bodyPr/>
                  <a:lstStyle/>
                  <a:p>
                    <a:fld id="{B70952BE-0E47-4080-9730-962434246B8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DA-4CEC-AFDB-4DA9C5CBDAE3}"/>
                </c:ext>
              </c:extLst>
            </c:dLbl>
            <c:dLbl>
              <c:idx val="3"/>
              <c:layout>
                <c:manualLayout>
                  <c:x val="-4.5024763619991824E-3"/>
                  <c:y val="-9.32983284862533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DA-4CEC-AFDB-4DA9C5CBDAE3}"/>
                </c:ext>
              </c:extLst>
            </c:dLbl>
            <c:dLbl>
              <c:idx val="4"/>
              <c:tx>
                <c:rich>
                  <a:bodyPr/>
                  <a:lstStyle/>
                  <a:p>
                    <a:fld id="{BE595BC7-DCA9-479A-871E-3B938E48F3A0}"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7DA-4CEC-AFDB-4DA9C5CBDAE3}"/>
                </c:ext>
              </c:extLst>
            </c:dLbl>
            <c:dLbl>
              <c:idx val="5"/>
              <c:tx>
                <c:rich>
                  <a:bodyPr/>
                  <a:lstStyle/>
                  <a:p>
                    <a:fld id="{9DDCDE80-5BE7-4E7D-88FF-C833BCB9D08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DA-4CEC-AFDB-4DA9C5CBDAE3}"/>
                </c:ext>
              </c:extLst>
            </c:dLbl>
            <c:dLbl>
              <c:idx val="6"/>
              <c:tx>
                <c:rich>
                  <a:bodyPr/>
                  <a:lstStyle/>
                  <a:p>
                    <a:fld id="{2D891769-A5A5-4BD0-9B1C-58547D5E3D0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DA-4CEC-AFDB-4DA9C5CBDAE3}"/>
                </c:ext>
              </c:extLst>
            </c:dLbl>
            <c:dLbl>
              <c:idx val="7"/>
              <c:tx>
                <c:rich>
                  <a:bodyPr/>
                  <a:lstStyle/>
                  <a:p>
                    <a:fld id="{D55D93F5-CB79-4C89-BF5E-9AF4FE653A6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DA-4CEC-AFDB-4DA9C5CBDAE3}"/>
                </c:ext>
              </c:extLst>
            </c:dLbl>
            <c:dLbl>
              <c:idx val="8"/>
              <c:tx>
                <c:rich>
                  <a:bodyPr/>
                  <a:lstStyle/>
                  <a:p>
                    <a:fld id="{A49661DA-D522-4D0D-AEC4-E447451C9457}" type="VALUE">
                      <a:rPr lang="en-US" sz="700">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7DA-4CEC-AFDB-4DA9C5CBDA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Hoja1!$D$2:$D$13</c:f>
              <c:numCache>
                <c:formatCode>#,##0.0_ ;[Red]\-#,##0.0\ </c:formatCode>
                <c:ptCount val="12"/>
                <c:pt idx="0">
                  <c:v>9.3979182399999992</c:v>
                </c:pt>
                <c:pt idx="1">
                  <c:v>8.9608554300000005</c:v>
                </c:pt>
                <c:pt idx="2">
                  <c:v>-3.0270541799999999</c:v>
                </c:pt>
                <c:pt idx="3">
                  <c:v>0.90477629000000004</c:v>
                </c:pt>
                <c:pt idx="4">
                  <c:v>-3.45403284</c:v>
                </c:pt>
                <c:pt idx="5">
                  <c:v>-5.1003803300000001</c:v>
                </c:pt>
                <c:pt idx="6">
                  <c:v>-6.3536071700000001</c:v>
                </c:pt>
                <c:pt idx="7">
                  <c:v>-7.0042301900000004</c:v>
                </c:pt>
                <c:pt idx="8">
                  <c:v>-6.4236362800000002</c:v>
                </c:pt>
                <c:pt idx="9">
                  <c:v>-4.8608923099999997</c:v>
                </c:pt>
                <c:pt idx="10">
                  <c:v>-4.36621579</c:v>
                </c:pt>
                <c:pt idx="11">
                  <c:v>-3.7621829199999999</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2021</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9.00495272399819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DA-4CEC-AFDB-4DA9C5CBDAE3}"/>
                </c:ext>
              </c:extLst>
            </c:dLbl>
            <c:dLbl>
              <c:idx val="1"/>
              <c:layout>
                <c:manualLayout>
                  <c:x val="7.1827801516148523E-3"/>
                  <c:y val="-2.8089388627350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E-4F11-B795-3C8DE4243CFB}"/>
                </c:ext>
              </c:extLst>
            </c:dLbl>
            <c:dLbl>
              <c:idx val="2"/>
              <c:layout>
                <c:manualLayout>
                  <c:x val="2.1654395842355999E-3"/>
                  <c:y val="-2.3449623541582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DA-4CEC-AFDB-4DA9C5CBDAE3}"/>
                </c:ext>
              </c:extLst>
            </c:dLbl>
            <c:dLbl>
              <c:idx val="3"/>
              <c:layout>
                <c:manualLayout>
                  <c:x val="3.9699267101664765E-17"/>
                  <c:y val="-7.234428310926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E-4F11-B795-3C8DE4243CFB}"/>
                </c:ext>
              </c:extLst>
            </c:dLbl>
            <c:dLbl>
              <c:idx val="4"/>
              <c:layout>
                <c:manualLayout>
                  <c:x val="0"/>
                  <c:y val="-2.6542800265428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4A-4036-9CA9-4FEE2D543697}"/>
                </c:ext>
              </c:extLst>
            </c:dLbl>
            <c:dLbl>
              <c:idx val="5"/>
              <c:layout>
                <c:manualLayout>
                  <c:x val="0"/>
                  <c:y val="-6.6357000663570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4A-4036-9CA9-4FEE2D543697}"/>
                </c:ext>
              </c:extLst>
            </c:dLbl>
            <c:dLbl>
              <c:idx val="6"/>
              <c:layout>
                <c:manualLayout>
                  <c:x val="0"/>
                  <c:y val="1.3271400132714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56-43FC-A646-87823658FB37}"/>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#,##0.0_ ;[Red]\-#,##0.0\ </c:formatCode>
                <c:ptCount val="12"/>
                <c:pt idx="0">
                  <c:v>4.0556197999999997</c:v>
                </c:pt>
                <c:pt idx="1">
                  <c:v>6.0273892299999998</c:v>
                </c:pt>
                <c:pt idx="2">
                  <c:v>20.626364299999999</c:v>
                </c:pt>
                <c:pt idx="3">
                  <c:v>17.995321499999999</c:v>
                </c:pt>
                <c:pt idx="4">
                  <c:v>22.171079800000001</c:v>
                </c:pt>
                <c:pt idx="5">
                  <c:v>24.517077100000002</c:v>
                </c:pt>
                <c:pt idx="6">
                  <c:v>27.394199799999999</c:v>
                </c:pt>
                <c:pt idx="7">
                  <c:v>27.984423400000001</c:v>
                </c:pt>
                <c:pt idx="8">
                  <c:v>27.386036199999999</c:v>
                </c:pt>
                <c:pt idx="9">
                  <c:v>26.270631000000002</c:v>
                </c:pt>
                <c:pt idx="10">
                  <c:v>25.706053099999998</c:v>
                </c:pt>
                <c:pt idx="11">
                  <c:v>27.313708999999999</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2022*</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5.4774220309359148E-2"/>
                  <c:y val="-9.0185329887199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3.1845261438465687E-2"/>
                  <c:y val="-0.128490143111673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#,##0.0_ ;[Red]\-#,##0.0\ </c:formatCode>
                <c:ptCount val="12"/>
                <c:pt idx="0">
                  <c:v>12.430154699999999</c:v>
                </c:pt>
                <c:pt idx="1">
                  <c:v>11.3649924</c:v>
                </c:pt>
                <c:pt idx="2">
                  <c:v>14.984503800000001</c:v>
                </c:pt>
                <c:pt idx="3">
                  <c:v>15.762242199999999</c:v>
                </c:pt>
                <c:pt idx="4">
                  <c:v>15.9196337</c:v>
                </c:pt>
                <c:pt idx="5">
                  <c:v>16.489036800000001</c:v>
                </c:pt>
                <c:pt idx="6">
                  <c:v>16.152298399999999</c:v>
                </c:pt>
                <c:pt idx="7">
                  <c:v>16.233904299999999</c:v>
                </c:pt>
                <c:pt idx="8">
                  <c:v>16.329867799999999</c:v>
                </c:pt>
                <c:pt idx="9">
                  <c:v>15.3936077</c:v>
                </c:pt>
                <c:pt idx="10">
                  <c:v>15.124295500000001</c:v>
                </c:pt>
                <c:pt idx="11">
                  <c:v>12.9142846</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10"/>
        </c:scaling>
        <c:delete val="0"/>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
          <c:y val="0.9157619448512333"/>
          <c:w val="0.6715112918577486"/>
          <c:h val="6.90654234258453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Por tipo de intrumento </a:t>
            </a:r>
          </a:p>
          <a:p>
            <a:pPr>
              <a:defRPr b="1">
                <a:solidFill>
                  <a:schemeClr val="tx1"/>
                </a:solidFill>
              </a:defRPr>
            </a:pPr>
            <a:r>
              <a:rPr lang="en-US" sz="900" b="1">
                <a:solidFill>
                  <a:schemeClr val="tx1"/>
                </a:solidFill>
              </a:rPr>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3895438996051417"/>
          <c:y val="0.19398968496750502"/>
          <c:w val="0.28173969894888795"/>
          <c:h val="0.70011036022072048"/>
        </c:manualLayout>
      </c:layout>
      <c:barChart>
        <c:barDir val="bar"/>
        <c:grouping val="clustered"/>
        <c:varyColors val="1"/>
        <c:ser>
          <c:idx val="0"/>
          <c:order val="0"/>
          <c:tx>
            <c:strRef>
              <c:f>Hoja1!$B$1</c:f>
              <c:strCache>
                <c:ptCount val="1"/>
                <c:pt idx="0">
                  <c:v>Diciembre</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6561-4004-9F39-C4307818C6BC}"/>
              </c:ext>
            </c:extLst>
          </c:dPt>
          <c:dPt>
            <c:idx val="1"/>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6561-4004-9F39-C4307818C6BC}"/>
              </c:ext>
            </c:extLst>
          </c:dPt>
          <c:dPt>
            <c:idx val="2"/>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6561-4004-9F39-C4307818C6BC}"/>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1-6561-4004-9F39-C4307818C6BC}"/>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3-6561-4004-9F39-C4307818C6BC}"/>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5-6561-4004-9F39-C4307818C6B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Títulos de deuda</c:v>
                </c:pt>
                <c:pt idx="1">
                  <c:v>Préstamos</c:v>
                </c:pt>
                <c:pt idx="2">
                  <c:v>Otras cuentas por pagar</c:v>
                </c:pt>
              </c:strCache>
            </c:strRef>
          </c:cat>
          <c:val>
            <c:numRef>
              <c:f>Hoja1!$B$2:$B$4</c:f>
              <c:numCache>
                <c:formatCode>#,##0.0_ ;[Red]\-#,##0.0\ </c:formatCode>
                <c:ptCount val="3"/>
                <c:pt idx="0">
                  <c:v>6896.5</c:v>
                </c:pt>
                <c:pt idx="1">
                  <c:v>1724.0301999399994</c:v>
                </c:pt>
                <c:pt idx="2">
                  <c:v>311.62091825000005</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6561-4004-9F39-C4307818C6BC}"/>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2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a:solidFill>
                  <a:sysClr val="windowText" lastClr="000000"/>
                </a:solidFill>
              </a:defRPr>
            </a:pPr>
            <a:r>
              <a:rPr lang="es-GT" sz="1100" b="1" i="0" baseline="0">
                <a:effectLst/>
              </a:rPr>
              <a:t>Variaciones interanuales acumuladas a diciembre de cada año </a:t>
            </a:r>
            <a:endParaRPr lang="es-GT" sz="1100">
              <a:effectLst/>
            </a:endParaRPr>
          </a:p>
          <a:p>
            <a:pPr>
              <a:defRPr sz="120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5600947645293534"/>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2780253795046432"/>
          <c:y val="0.14893514031153968"/>
          <c:w val="0.68935531496062996"/>
          <c:h val="0.74087215749427815"/>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4-4E08-A47A-DB0E13A836B8}"/>
                </c:ext>
              </c:extLst>
            </c:dLbl>
            <c:dLbl>
              <c:idx val="2"/>
              <c:layout>
                <c:manualLayout>
                  <c:x val="-1.5692806802952098E-16"/>
                  <c:y val="-2.0033692021277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4-4E08-A47A-DB0E13A836B8}"/>
                </c:ext>
              </c:extLst>
            </c:dLbl>
            <c:dLbl>
              <c:idx val="3"/>
              <c:layout>
                <c:manualLayout>
                  <c:x val="0"/>
                  <c:y val="-6.740939377156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54-4E08-A47A-DB0E13A836B8}"/>
                </c:ext>
              </c:extLst>
            </c:dLbl>
            <c:dLbl>
              <c:idx val="8"/>
              <c:layout>
                <c:manualLayout>
                  <c:x val="-7.846403401476049E-17"/>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54-4E08-A47A-DB0E13A836B8}"/>
                </c:ext>
              </c:extLst>
            </c:dLbl>
            <c:dLbl>
              <c:idx val="9"/>
              <c:layout>
                <c:manualLayout>
                  <c:x val="-6.9443999791059712E-3"/>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54-4E08-A47A-DB0E13A836B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Asuntos económicos </c:v>
                </c:pt>
                <c:pt idx="1">
                  <c:v>Educación </c:v>
                </c:pt>
                <c:pt idx="2">
                  <c:v>Servicios públicos generales </c:v>
                </c:pt>
                <c:pt idx="3">
                  <c:v>Vivienda y servicios comunitarios </c:v>
                </c:pt>
                <c:pt idx="4">
                  <c:v>Orden público y seguridad </c:v>
                </c:pt>
                <c:pt idx="5">
                  <c:v>Protección social </c:v>
                </c:pt>
                <c:pt idx="6">
                  <c:v>Defensa </c:v>
                </c:pt>
                <c:pt idx="7">
                  <c:v>Salud </c:v>
                </c:pt>
                <c:pt idx="8">
                  <c:v>Protección del medio ambiente </c:v>
                </c:pt>
                <c:pt idx="9">
                  <c:v>Actividades recreativas, cultura y religión </c:v>
                </c:pt>
              </c:strCache>
            </c:strRef>
          </c:cat>
          <c:val>
            <c:numRef>
              <c:f>Hoja1!$B$2:$B$11</c:f>
              <c:numCache>
                <c:formatCode>_(* #,##0.00_);_(* \(#,##0.00\);_(* "-"??_);_(@_)</c:formatCode>
                <c:ptCount val="10"/>
                <c:pt idx="0">
                  <c:v>4843.2069905600019</c:v>
                </c:pt>
                <c:pt idx="1">
                  <c:v>2866.9162906200036</c:v>
                </c:pt>
                <c:pt idx="2">
                  <c:v>2520.7004521999988</c:v>
                </c:pt>
                <c:pt idx="3">
                  <c:v>1494.9278372000008</c:v>
                </c:pt>
                <c:pt idx="4">
                  <c:v>1400.2565146100023</c:v>
                </c:pt>
                <c:pt idx="5">
                  <c:v>1209.2411650800022</c:v>
                </c:pt>
                <c:pt idx="6">
                  <c:v>554.77863871999989</c:v>
                </c:pt>
                <c:pt idx="7">
                  <c:v>541.13102301000072</c:v>
                </c:pt>
                <c:pt idx="8">
                  <c:v>316.89447450999978</c:v>
                </c:pt>
                <c:pt idx="9">
                  <c:v>129.79216986000006</c:v>
                </c:pt>
              </c:numCache>
            </c:numRef>
          </c:val>
          <c:extLst>
            <c:ext xmlns:c16="http://schemas.microsoft.com/office/drawing/2014/chart" uri="{C3380CC4-5D6E-409C-BE32-E72D297353CC}">
              <c16:uniqueId val="{00000005-0D54-4E08-A47A-DB0E13A836B8}"/>
            </c:ext>
          </c:extLst>
        </c:ser>
        <c:ser>
          <c:idx val="1"/>
          <c:order val="1"/>
          <c:tx>
            <c:strRef>
              <c:f>Hoja1!$C$1</c:f>
              <c:strCache>
                <c:ptCount val="1"/>
                <c:pt idx="0">
                  <c:v>2021</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54-4E08-A47A-DB0E13A836B8}"/>
                </c:ext>
              </c:extLst>
            </c:dLbl>
            <c:dLbl>
              <c:idx val="2"/>
              <c:layout>
                <c:manualLayout>
                  <c:x val="0"/>
                  <c:y val="-1.1245431543435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E0-4ED2-9E83-35DCFA82A013}"/>
                </c:ext>
              </c:extLst>
            </c:dLbl>
            <c:dLbl>
              <c:idx val="3"/>
              <c:layout>
                <c:manualLayout>
                  <c:x val="-7.846403401476049E-17"/>
                  <c:y val="-5.6227157717178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E0-4ED2-9E83-35DCFA82A013}"/>
                </c:ext>
              </c:extLst>
            </c:dLbl>
            <c:dLbl>
              <c:idx val="4"/>
              <c:layout>
                <c:manualLayout>
                  <c:x val="-1.5692806802952098E-16"/>
                  <c:y val="-8.4340736575767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E0-4ED2-9E83-35DCFA82A013}"/>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Asuntos económicos </c:v>
                </c:pt>
                <c:pt idx="1">
                  <c:v>Educación </c:v>
                </c:pt>
                <c:pt idx="2">
                  <c:v>Servicios públicos generales </c:v>
                </c:pt>
                <c:pt idx="3">
                  <c:v>Vivienda y servicios comunitarios </c:v>
                </c:pt>
                <c:pt idx="4">
                  <c:v>Orden público y seguridad </c:v>
                </c:pt>
                <c:pt idx="5">
                  <c:v>Protección social </c:v>
                </c:pt>
                <c:pt idx="6">
                  <c:v>Defensa </c:v>
                </c:pt>
                <c:pt idx="7">
                  <c:v>Salud </c:v>
                </c:pt>
                <c:pt idx="8">
                  <c:v>Protección del medio ambiente </c:v>
                </c:pt>
                <c:pt idx="9">
                  <c:v>Actividades recreativas, cultura y religión </c:v>
                </c:pt>
              </c:strCache>
            </c:strRef>
          </c:cat>
          <c:val>
            <c:numRef>
              <c:f>Hoja1!$C$2:$C$11</c:f>
              <c:numCache>
                <c:formatCode>_(* #,##0.00_);_(* \(#,##0.00\);_(* "-"??_);_(@_)</c:formatCode>
                <c:ptCount val="10"/>
                <c:pt idx="0">
                  <c:v>1181.1255667699998</c:v>
                </c:pt>
                <c:pt idx="1">
                  <c:v>779.25144094999996</c:v>
                </c:pt>
                <c:pt idx="2">
                  <c:v>1026.3293884899977</c:v>
                </c:pt>
                <c:pt idx="3">
                  <c:v>432.92739817000074</c:v>
                </c:pt>
                <c:pt idx="4">
                  <c:v>626.87983055999757</c:v>
                </c:pt>
                <c:pt idx="5">
                  <c:v>-7718.3056273899965</c:v>
                </c:pt>
                <c:pt idx="6">
                  <c:v>105.35211200000003</c:v>
                </c:pt>
                <c:pt idx="7">
                  <c:v>3040.4536429600003</c:v>
                </c:pt>
                <c:pt idx="8">
                  <c:v>-34.158877200000006</c:v>
                </c:pt>
                <c:pt idx="9">
                  <c:v>201.16833506</c:v>
                </c:pt>
              </c:numCache>
            </c:numRef>
          </c:val>
          <c:extLst>
            <c:ext xmlns:c16="http://schemas.microsoft.com/office/drawing/2014/chart" uri="{C3380CC4-5D6E-409C-BE32-E72D297353CC}">
              <c16:uniqueId val="{00000007-0D54-4E08-A47A-DB0E13A836B8}"/>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max val="8000"/>
          <c:min val="-10000"/>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87127627129211027"/>
          <c:y val="0.19446599327579431"/>
          <c:w val="9.2958543888412404E-2"/>
          <c:h val="8.217721629528286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i="0">
                <a:effectLst/>
              </a:rPr>
              <a:t>𝐆𝐫𝐚𝐝𝐨 𝐝𝐞 𝐄𝐣𝐞𝐜𝐮𝐜𝐢ó𝐧 𝐩𝐨𝐫 𝐄𝐧𝐭𝐢𝐝𝐚𝐝 </a:t>
            </a:r>
            <a:r>
              <a:rPr lang="es-MX" sz="1100" b="1" i="0" baseline="30000">
                <a:effectLst/>
              </a:rPr>
              <a:t>𝟏/</a:t>
            </a:r>
            <a:endParaRPr lang="es-GT" sz="1100" baseline="30000">
              <a:effectLst/>
            </a:endParaRPr>
          </a:p>
          <a:p>
            <a:pPr>
              <a:defRPr/>
            </a:pPr>
            <a:r>
              <a:rPr lang="es-MX" sz="1050" b="1">
                <a:effectLst/>
              </a:rPr>
              <a:t>Cifras a diciembre de 2022*</a:t>
            </a:r>
            <a:endParaRPr lang="es-GT" sz="1050">
              <a:effectLst/>
            </a:endParaRPr>
          </a:p>
          <a:p>
            <a:pPr>
              <a:defRPr/>
            </a:pPr>
            <a:r>
              <a:rPr lang="es-MX" sz="1000">
                <a:effectLst/>
              </a:rPr>
              <a:t>En porcentajes</a:t>
            </a:r>
            <a:endParaRPr lang="es-GT" sz="1000">
              <a:effectLst/>
            </a:endParaRPr>
          </a:p>
        </c:rich>
      </c:tx>
      <c:layout>
        <c:manualLayout>
          <c:xMode val="edge"/>
          <c:yMode val="edge"/>
          <c:x val="0.178646832674694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30639727081094731"/>
          <c:y val="0.13349312635002217"/>
          <c:w val="0.96086113161048337"/>
          <c:h val="0.73359897961643383"/>
        </c:manualLayout>
      </c:layout>
      <c:barChart>
        <c:barDir val="bar"/>
        <c:grouping val="clustered"/>
        <c:varyColors val="0"/>
        <c:ser>
          <c:idx val="0"/>
          <c:order val="0"/>
          <c:tx>
            <c:strRef>
              <c:f>Sheet1!$B$1</c:f>
              <c:strCache>
                <c:ptCount val="1"/>
                <c:pt idx="0">
                  <c:v>%</c:v>
                </c:pt>
              </c:strCache>
            </c:strRef>
          </c:tx>
          <c:spPr>
            <a:solidFill>
              <a:schemeClr val="accent2">
                <a:lumMod val="40000"/>
                <a:lumOff val="6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extLst>
              <c:ext xmlns:c16="http://schemas.microsoft.com/office/drawing/2014/chart" uri="{C3380CC4-5D6E-409C-BE32-E72D297353CC}">
                <c16:uniqueId val="{00000000-8BE7-4D78-A847-650847707D2D}"/>
              </c:ext>
            </c:extLst>
          </c:dPt>
          <c:dPt>
            <c:idx val="7"/>
            <c:invertIfNegative val="0"/>
            <c:bubble3D val="0"/>
            <c:spPr>
              <a:solidFill>
                <a:schemeClr val="accent2">
                  <a:lumMod val="75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2-8BE7-4D78-A847-650847707D2D}"/>
              </c:ext>
            </c:extLst>
          </c:dPt>
          <c:dPt>
            <c:idx val="8"/>
            <c:invertIfNegative val="0"/>
            <c:bubble3D val="0"/>
            <c:extLst>
              <c:ext xmlns:c16="http://schemas.microsoft.com/office/drawing/2014/chart" uri="{C3380CC4-5D6E-409C-BE32-E72D297353CC}">
                <c16:uniqueId val="{00000003-8BE7-4D78-A847-650847707D2D}"/>
              </c:ext>
            </c:extLst>
          </c:dPt>
          <c:dPt>
            <c:idx val="9"/>
            <c:invertIfNegative val="0"/>
            <c:bubble3D val="0"/>
            <c:extLst>
              <c:ext xmlns:c16="http://schemas.microsoft.com/office/drawing/2014/chart" uri="{C3380CC4-5D6E-409C-BE32-E72D297353CC}">
                <c16:uniqueId val="{00000004-8BE7-4D78-A847-650847707D2D}"/>
              </c:ext>
            </c:extLst>
          </c:dPt>
          <c:dPt>
            <c:idx val="10"/>
            <c:invertIfNegative val="0"/>
            <c:bubble3D val="0"/>
            <c:extLst>
              <c:ext xmlns:c16="http://schemas.microsoft.com/office/drawing/2014/chart" uri="{C3380CC4-5D6E-409C-BE32-E72D297353CC}">
                <c16:uniqueId val="{00000005-8BE7-4D78-A847-650847707D2D}"/>
              </c:ext>
            </c:extLst>
          </c:dPt>
          <c:dPt>
            <c:idx val="11"/>
            <c:invertIfNegative val="0"/>
            <c:bubble3D val="0"/>
            <c:extLst>
              <c:ext xmlns:c16="http://schemas.microsoft.com/office/drawing/2014/chart" uri="{C3380CC4-5D6E-409C-BE32-E72D297353CC}">
                <c16:uniqueId val="{00000006-8BE7-4D78-A847-650847707D2D}"/>
              </c:ext>
            </c:extLst>
          </c:dPt>
          <c:dPt>
            <c:idx val="13"/>
            <c:invertIfNegative val="0"/>
            <c:bubble3D val="0"/>
            <c:extLst>
              <c:ext xmlns:c16="http://schemas.microsoft.com/office/drawing/2014/chart" uri="{C3380CC4-5D6E-409C-BE32-E72D297353CC}">
                <c16:uniqueId val="{00000007-8BE7-4D78-A847-650847707D2D}"/>
              </c:ext>
            </c:extLst>
          </c:dPt>
          <c:dLbls>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2-8BE7-4D78-A847-650847707D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Cultura</c:v>
                </c:pt>
                <c:pt idx="1">
                  <c:v>Comunicaciones</c:v>
                </c:pt>
                <c:pt idx="2">
                  <c:v>Ambiente </c:v>
                </c:pt>
                <c:pt idx="3">
                  <c:v>Salud Pública </c:v>
                </c:pt>
                <c:pt idx="4">
                  <c:v>Secretarías</c:v>
                </c:pt>
                <c:pt idx="5">
                  <c:v>Agricultura</c:v>
                </c:pt>
                <c:pt idx="6">
                  <c:v>Obligaciones </c:v>
                </c:pt>
                <c:pt idx="7">
                  <c:v>Total</c:v>
                </c:pt>
                <c:pt idx="8">
                  <c:v>Economía</c:v>
                </c:pt>
                <c:pt idx="9">
                  <c:v>Trabajo </c:v>
                </c:pt>
                <c:pt idx="10">
                  <c:v>PGN</c:v>
                </c:pt>
                <c:pt idx="11">
                  <c:v>Gobernación</c:v>
                </c:pt>
                <c:pt idx="12">
                  <c:v>Presidencia</c:v>
                </c:pt>
                <c:pt idx="13">
                  <c:v>Educación </c:v>
                </c:pt>
                <c:pt idx="14">
                  <c:v>Finanzas</c:v>
                </c:pt>
                <c:pt idx="15">
                  <c:v>Desarrollo</c:v>
                </c:pt>
                <c:pt idx="16">
                  <c:v>Deuda Pública</c:v>
                </c:pt>
                <c:pt idx="17">
                  <c:v>Energía</c:v>
                </c:pt>
                <c:pt idx="18">
                  <c:v>MINREX</c:v>
                </c:pt>
                <c:pt idx="19">
                  <c:v>Defensa </c:v>
                </c:pt>
              </c:strCache>
            </c:strRef>
          </c:cat>
          <c:val>
            <c:numRef>
              <c:f>Sheet1!$B$2:$B$21</c:f>
              <c:numCache>
                <c:formatCode>0.0</c:formatCode>
                <c:ptCount val="20"/>
                <c:pt idx="0">
                  <c:v>88.174685107132859</c:v>
                </c:pt>
                <c:pt idx="1">
                  <c:v>89.528860005152225</c:v>
                </c:pt>
                <c:pt idx="2">
                  <c:v>93.083426184839368</c:v>
                </c:pt>
                <c:pt idx="3">
                  <c:v>93.220377181163329</c:v>
                </c:pt>
                <c:pt idx="4">
                  <c:v>93.381802763182336</c:v>
                </c:pt>
                <c:pt idx="5">
                  <c:v>95.27586520598274</c:v>
                </c:pt>
                <c:pt idx="6">
                  <c:v>95.875810380952615</c:v>
                </c:pt>
                <c:pt idx="7">
                  <c:v>96.144957984422547</c:v>
                </c:pt>
                <c:pt idx="8">
                  <c:v>96.280471554112808</c:v>
                </c:pt>
                <c:pt idx="9">
                  <c:v>96.443992309870794</c:v>
                </c:pt>
                <c:pt idx="10">
                  <c:v>97.028727639472038</c:v>
                </c:pt>
                <c:pt idx="11">
                  <c:v>97.148141158024359</c:v>
                </c:pt>
                <c:pt idx="12">
                  <c:v>97.717764256023003</c:v>
                </c:pt>
                <c:pt idx="13">
                  <c:v>98.329588689533026</c:v>
                </c:pt>
                <c:pt idx="14">
                  <c:v>98.596895047835858</c:v>
                </c:pt>
                <c:pt idx="15">
                  <c:v>98.724463768835733</c:v>
                </c:pt>
                <c:pt idx="16">
                  <c:v>98.826467409678671</c:v>
                </c:pt>
                <c:pt idx="17">
                  <c:v>99.283627583195383</c:v>
                </c:pt>
                <c:pt idx="18">
                  <c:v>99.339719145140435</c:v>
                </c:pt>
                <c:pt idx="19">
                  <c:v>99.901943238513269</c:v>
                </c:pt>
              </c:numCache>
            </c:numRef>
          </c:val>
          <c:extLst>
            <c:ext xmlns:c16="http://schemas.microsoft.com/office/drawing/2014/chart" uri="{C3380CC4-5D6E-409C-BE32-E72D297353CC}">
              <c16:uniqueId val="{00000008-8BE7-4D78-A847-650847707D2D}"/>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a:pPr>
            <a:r>
              <a:rPr lang="en-US" sz="1100" b="1">
                <a:solidFill>
                  <a:sysClr val="windowText" lastClr="000000"/>
                </a:solidFill>
              </a:rPr>
              <a:t>Variación interanual acumulada a diciembre</a:t>
            </a:r>
            <a:r>
              <a:rPr lang="en-US" sz="1100" b="1" baseline="0">
                <a:solidFill>
                  <a:sysClr val="windowText" lastClr="000000"/>
                </a:solidFill>
              </a:rPr>
              <a:t> </a:t>
            </a:r>
            <a:r>
              <a:rPr lang="en-US" sz="1100" b="1">
                <a:solidFill>
                  <a:sysClr val="windowText" lastClr="000000"/>
                </a:solidFill>
              </a:rPr>
              <a:t>2022*</a:t>
            </a:r>
          </a:p>
          <a:p>
            <a:pPr>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Otros ingresos </c:v>
                </c:pt>
                <c:pt idx="2">
                  <c:v>Contribuciones sociales </c:v>
                </c:pt>
                <c:pt idx="3">
                  <c:v>Donaciones </c:v>
                </c:pt>
                <c:pt idx="4">
                  <c:v>Ingresos Totales</c:v>
                </c:pt>
              </c:strCache>
            </c:strRef>
          </c:cat>
          <c:val>
            <c:numRef>
              <c:f>Hoja1!$B$2:$B$6</c:f>
              <c:numCache>
                <c:formatCode>#,##0.0_ ;[Red]\-#,##0.0\ </c:formatCode>
                <c:ptCount val="5"/>
                <c:pt idx="0">
                  <c:v>10286.869485679999</c:v>
                </c:pt>
                <c:pt idx="1">
                  <c:v>505.19672351000008</c:v>
                </c:pt>
                <c:pt idx="2">
                  <c:v>173.83826320000026</c:v>
                </c:pt>
                <c:pt idx="3">
                  <c:v>-70.030884750000013</c:v>
                </c:pt>
                <c:pt idx="4">
                  <c:v>10895.873587640001</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b="0">
                <a:solidFill>
                  <a:sysClr val="windowText" lastClr="000000"/>
                </a:solidFill>
              </a:defRPr>
            </a:pPr>
            <a:r>
              <a:rPr lang="es-GT" sz="900" b="1" i="0" baseline="0">
                <a:effectLst/>
              </a:rPr>
              <a:t>Variación interanual acumulada </a:t>
            </a:r>
          </a:p>
          <a:p>
            <a:pPr>
              <a:defRPr b="0">
                <a:solidFill>
                  <a:sysClr val="windowText" lastClr="000000"/>
                </a:solidFill>
              </a:defRPr>
            </a:pPr>
            <a:r>
              <a:rPr lang="es-GT" sz="900" b="1" i="0" baseline="0">
                <a:effectLst/>
              </a:rPr>
              <a:t>a diciembre* </a:t>
            </a:r>
            <a:endParaRPr lang="es-GT" sz="900">
              <a:effectLst/>
            </a:endParaRPr>
          </a:p>
          <a:p>
            <a:pPr>
              <a:defRPr b="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1980660657118233"/>
          <c:y val="1.5077442242796574E-3"/>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51727859860214098"/>
          <c:y val="0.16211363002701584"/>
          <c:w val="0.42675232075391323"/>
          <c:h val="0.76513461943971572"/>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6035-4FD0-8846-C058D9E2CEE6}"/>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Hoja1!$B$2:$B$7</c:f>
              <c:numCache>
                <c:formatCode>#,##0.0_ ;[Red]\-#,##0.0\ </c:formatCode>
                <c:ptCount val="6"/>
                <c:pt idx="0" formatCode="_(* #,##0.00_);_(* \(#,##0.00\);_(* &quot;-&quot;??_);_(@_)">
                  <c:v>10286.869485679988</c:v>
                </c:pt>
                <c:pt idx="1">
                  <c:v>6626.5254623699875</c:v>
                </c:pt>
                <c:pt idx="2">
                  <c:v>3058.2690591799983</c:v>
                </c:pt>
                <c:pt idx="3">
                  <c:v>518.01540346000093</c:v>
                </c:pt>
                <c:pt idx="4">
                  <c:v>73.267712510000138</c:v>
                </c:pt>
                <c:pt idx="5">
                  <c:v>10.791848160000001</c:v>
                </c:pt>
              </c:numCache>
            </c:numRef>
          </c:val>
          <c:extLst>
            <c:ext xmlns:c16="http://schemas.microsoft.com/office/drawing/2014/chart" uri="{C3380CC4-5D6E-409C-BE32-E72D297353CC}">
              <c16:uniqueId val="{00000002-6035-4FD0-8846-C058D9E2CEE6}"/>
            </c:ext>
          </c:extLst>
        </c:ser>
        <c:ser>
          <c:idx val="1"/>
          <c:order val="1"/>
          <c:tx>
            <c:strRef>
              <c:f>Hoja1!$C$1</c:f>
              <c:strCache>
                <c:ptCount val="1"/>
                <c:pt idx="0">
                  <c:v>2021</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4-6035-4FD0-8846-C058D9E2CEE6}"/>
              </c:ext>
            </c:extLst>
          </c:dPt>
          <c:dLbls>
            <c:dLbl>
              <c:idx val="0"/>
              <c:layout>
                <c:manualLayout>
                  <c:x val="0"/>
                  <c:y val="-2.56868805834281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35-4FD0-8846-C058D9E2CEE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Hoja1!$C$2:$C$7</c:f>
              <c:numCache>
                <c:formatCode>_(* #,##0.00_);_(* \(#,##0.00\);_(* "-"??_);_(@_)</c:formatCode>
                <c:ptCount val="6"/>
                <c:pt idx="0">
                  <c:v>17549.348925110007</c:v>
                </c:pt>
                <c:pt idx="1">
                  <c:v>9520.5211044500102</c:v>
                </c:pt>
                <c:pt idx="2">
                  <c:v>6787.3277313899998</c:v>
                </c:pt>
                <c:pt idx="3">
                  <c:v>1096.4289461299995</c:v>
                </c:pt>
                <c:pt idx="4">
                  <c:v>131.26869870999985</c:v>
                </c:pt>
                <c:pt idx="5">
                  <c:v>13.802444430000005</c:v>
                </c:pt>
              </c:numCache>
            </c:numRef>
          </c:val>
          <c:extLst>
            <c:ext xmlns:c16="http://schemas.microsoft.com/office/drawing/2014/chart" uri="{C3380CC4-5D6E-409C-BE32-E72D297353CC}">
              <c16:uniqueId val="{00000005-6035-4FD0-8846-C058D9E2CEE6}"/>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scaling>
        <c:delete val="1"/>
        <c:axPos val="b"/>
        <c:numFmt formatCode="_(* #,##0.00_);_(* \(#,##0.00\);_(* &quot;-&quot;??_);_(@_)" sourceLinked="1"/>
        <c:majorTickMark val="none"/>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4895306023600616"/>
          <c:y val="0.16204224471941006"/>
          <c:w val="0.18879720873214204"/>
          <c:h val="5.610569506546161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a:ln>
                  <a:noFill/>
                </a:ln>
              </a:defRPr>
            </a:pPr>
            <a:r>
              <a:rPr lang="en-US" sz="1050" b="1" i="0" baseline="0">
                <a:solidFill>
                  <a:sysClr val="windowText" lastClr="000000"/>
                </a:solidFill>
                <a:effectLst/>
              </a:rPr>
              <a:t>Variación internanual acumulada al 31 de diciembre de cada año</a:t>
            </a:r>
            <a:endParaRPr lang="es-GT" sz="1050" b="1">
              <a:solidFill>
                <a:sysClr val="windowText" lastClr="000000"/>
              </a:solidFill>
              <a:effectLst/>
            </a:endParaRPr>
          </a:p>
          <a:p>
            <a:pPr>
              <a:defRPr>
                <a:ln>
                  <a:noFill/>
                </a:ln>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763522201213864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4371516086716605"/>
          <c:w val="0.98959481325520382"/>
          <c:h val="0.55869327361734278"/>
        </c:manualLayout>
      </c:layout>
      <c:barChart>
        <c:barDir val="col"/>
        <c:grouping val="clustered"/>
        <c:varyColors val="0"/>
        <c:ser>
          <c:idx val="0"/>
          <c:order val="1"/>
          <c:tx>
            <c:strRef>
              <c:f>Hoja1!$C$1</c:f>
              <c:strCache>
                <c:ptCount val="1"/>
                <c:pt idx="0">
                  <c:v>2021</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4.5745328345584708E-2"/>
                  <c:y val="-1.0579594981819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A9-4828-8279-56D853DEA497}"/>
                </c:ext>
              </c:extLst>
            </c:dLbl>
            <c:dLbl>
              <c:idx val="1"/>
              <c:layout>
                <c:manualLayout>
                  <c:x val="-2.3723302229667711E-3"/>
                  <c:y val="-2.0546792306699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A9-4828-8279-56D853DEA497}"/>
                </c:ext>
              </c:extLst>
            </c:dLbl>
            <c:dLbl>
              <c:idx val="3"/>
              <c:layout>
                <c:manualLayout>
                  <c:x val="-4.4296788482834993E-3"/>
                  <c:y val="-3.4622042700519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9-4828-8279-56D853DEA497}"/>
                </c:ext>
              </c:extLst>
            </c:dLbl>
            <c:dLbl>
              <c:idx val="4"/>
              <c:layout>
                <c:manualLayout>
                  <c:x val="-8.120984074218733E-17"/>
                  <c:y val="-1.7311021350259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A9-4828-8279-56D853DEA497}"/>
                </c:ext>
              </c:extLst>
            </c:dLbl>
            <c:dLbl>
              <c:idx val="5"/>
              <c:layout>
                <c:manualLayout>
                  <c:x val="-4.4296788482836615E-3"/>
                  <c:y val="5.28735841083915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A9-4828-8279-56D853DEA497}"/>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A9-4828-8279-56D853DEA497}"/>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A9-4828-8279-56D853DEA497}"/>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A9-4828-8279-56D853DEA497}"/>
                </c:ext>
              </c:extLst>
            </c:dLbl>
            <c:spPr>
              <a:noFill/>
              <a:ln>
                <a:noFill/>
              </a:ln>
              <a:effectLst/>
            </c:spPr>
            <c:txPr>
              <a:bodyPr rot="0" spcFirstLastPara="1" vertOverflow="ellipsis" vert="horz" wrap="square" anchor="ctr" anchorCtr="1"/>
              <a:lstStyle/>
              <a:p>
                <a:pPr>
                  <a:defRPr sz="700" b="1" i="0" u="none" strike="noStrike" kern="1200" baseline="0">
                    <a:solidFill>
                      <a:srgbClr val="C0504D"/>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_-* #,##0.0_-;\-* #,##0.0_-;_-* "-"??_-;_-@_-</c:formatCode>
                <c:ptCount val="12"/>
                <c:pt idx="0">
                  <c:v>3.4909704848578249</c:v>
                </c:pt>
                <c:pt idx="1">
                  <c:v>4.8023061086179375</c:v>
                </c:pt>
                <c:pt idx="2">
                  <c:v>-0.1099249986598938</c:v>
                </c:pt>
                <c:pt idx="3">
                  <c:v>9.8657956894710139</c:v>
                </c:pt>
                <c:pt idx="4">
                  <c:v>12.166836122492587</c:v>
                </c:pt>
                <c:pt idx="5">
                  <c:v>4.0088673450811019</c:v>
                </c:pt>
                <c:pt idx="6">
                  <c:v>4.1143041660915758</c:v>
                </c:pt>
                <c:pt idx="7">
                  <c:v>0.7018520727777755</c:v>
                </c:pt>
                <c:pt idx="8">
                  <c:v>-1.5453259365666661</c:v>
                </c:pt>
                <c:pt idx="9">
                  <c:v>-2.7159195795191438</c:v>
                </c:pt>
                <c:pt idx="10">
                  <c:v>-0.91237577147432747</c:v>
                </c:pt>
                <c:pt idx="11">
                  <c:v>-1.3183140730545495</c:v>
                </c:pt>
              </c:numCache>
            </c:numRef>
          </c:val>
          <c:extLst>
            <c:ext xmlns:c16="http://schemas.microsoft.com/office/drawing/2014/chart" uri="{C3380CC4-5D6E-409C-BE32-E72D297353CC}">
              <c16:uniqueId val="{00000008-91A9-4828-8279-56D853DEA497}"/>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2022*</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91A9-4828-8279-56D853DEA497}"/>
              </c:ext>
            </c:extLst>
          </c:dPt>
          <c:dPt>
            <c:idx val="11"/>
            <c:marker>
              <c:symbol val="none"/>
            </c:marker>
            <c:bubble3D val="0"/>
            <c:extLst>
              <c:ext xmlns:c16="http://schemas.microsoft.com/office/drawing/2014/chart" uri="{C3380CC4-5D6E-409C-BE32-E72D297353CC}">
                <c16:uniqueId val="{0000000A-91A9-4828-8279-56D853DEA497}"/>
              </c:ext>
            </c:extLst>
          </c:dPt>
          <c:dLbls>
            <c:dLbl>
              <c:idx val="0"/>
              <c:layout>
                <c:manualLayout>
                  <c:x val="-4.3509843548699162E-2"/>
                  <c:y val="-6.9282044662449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A9-4828-8279-56D853DEA497}"/>
                </c:ext>
              </c:extLst>
            </c:dLbl>
            <c:dLbl>
              <c:idx val="1"/>
              <c:layout>
                <c:manualLayout>
                  <c:x val="-8.2943469275642917E-2"/>
                  <c:y val="-8.385985796784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A9-4828-8279-56D853DEA497}"/>
                </c:ext>
              </c:extLst>
            </c:dLbl>
            <c:dLbl>
              <c:idx val="2"/>
              <c:layout>
                <c:manualLayout>
                  <c:x val="-7.0099144583671225E-2"/>
                  <c:y val="-8.4219701895061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A9-4828-8279-56D853DEA497}"/>
                </c:ext>
              </c:extLst>
            </c:dLbl>
            <c:dLbl>
              <c:idx val="3"/>
              <c:layout>
                <c:manualLayout>
                  <c:x val="-7.0863700177012753E-2"/>
                  <c:y val="-0.129154758713441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A9-4828-8279-56D853DEA497}"/>
                </c:ext>
              </c:extLst>
            </c:dLbl>
            <c:dLbl>
              <c:idx val="4"/>
              <c:layout>
                <c:manualLayout>
                  <c:x val="-7.0863700177012837E-2"/>
                  <c:y val="-0.117614077813268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A9-4828-8279-56D853DEA497}"/>
                </c:ext>
              </c:extLst>
            </c:dLbl>
            <c:dLbl>
              <c:idx val="5"/>
              <c:layout>
                <c:manualLayout>
                  <c:x val="-3.2731538458372338E-2"/>
                  <c:y val="-0.13721701911488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A9-4828-8279-56D853DEA497}"/>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_-* #,##0.0_-;\-* #,##0.0_-;_-* "-"??_-;_-@_-</c:formatCode>
                <c:ptCount val="12"/>
                <c:pt idx="0">
                  <c:v>7.230133261633398</c:v>
                </c:pt>
                <c:pt idx="1">
                  <c:v>15.177351372199176</c:v>
                </c:pt>
                <c:pt idx="2">
                  <c:v>17.795837484653056</c:v>
                </c:pt>
                <c:pt idx="3">
                  <c:v>11.966452242115322</c:v>
                </c:pt>
                <c:pt idx="4">
                  <c:v>13.367186133856412</c:v>
                </c:pt>
                <c:pt idx="5">
                  <c:v>14.681912919430417</c:v>
                </c:pt>
                <c:pt idx="6">
                  <c:v>14.17261768394631</c:v>
                </c:pt>
                <c:pt idx="7">
                  <c:v>15.250396393419031</c:v>
                </c:pt>
                <c:pt idx="8">
                  <c:v>16.726981406335973</c:v>
                </c:pt>
                <c:pt idx="9">
                  <c:v>19.211564981765662</c:v>
                </c:pt>
                <c:pt idx="10">
                  <c:v>17.211610695261026</c:v>
                </c:pt>
                <c:pt idx="11">
                  <c:v>16.992996866089904</c:v>
                </c:pt>
              </c:numCache>
            </c:numRef>
          </c:val>
          <c:smooth val="1"/>
          <c:extLst>
            <c:ext xmlns:c16="http://schemas.microsoft.com/office/drawing/2014/chart" uri="{C3380CC4-5D6E-409C-BE32-E72D297353CC}">
              <c16:uniqueId val="{00000011-91A9-4828-8279-56D853DEA497}"/>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8"/>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71559474338513662"/>
          <c:y val="0.13298403421661734"/>
          <c:w val="0.26871789278693808"/>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a:solidFill>
                  <a:sysClr val="windowText" lastClr="000000"/>
                </a:solidFill>
              </a:defRPr>
            </a:pPr>
            <a:r>
              <a:rPr lang="en-US" sz="1100" b="1" i="0" baseline="0">
                <a:effectLst/>
              </a:rPr>
              <a:t>Variación interanual acumulada a diciembre 2022*</a:t>
            </a:r>
            <a:endParaRPr lang="es-GT" sz="1100">
              <a:effectLst/>
            </a:endParaRPr>
          </a:p>
          <a:p>
            <a:pPr>
              <a:defRPr>
                <a:solidFill>
                  <a:sysClr val="windowText" lastClr="000000"/>
                </a:solidFill>
              </a:defRPr>
            </a:pPr>
            <a:r>
              <a:rPr lang="en-US" sz="1000" b="0" i="0" baseline="0">
                <a:effectLst/>
              </a:rPr>
              <a:t>En millones de Quetzales</a:t>
            </a:r>
            <a:endParaRPr lang="es-GT" sz="1000">
              <a:effectLst/>
            </a:endParaRPr>
          </a:p>
        </c:rich>
      </c:tx>
      <c:layout>
        <c:manualLayout>
          <c:xMode val="edge"/>
          <c:yMode val="edge"/>
          <c:x val="0.2312361961466226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18550599787434843"/>
          <c:w val="1"/>
          <c:h val="0.57472785881751431"/>
        </c:manualLayout>
      </c:layout>
      <c:barChart>
        <c:barDir val="col"/>
        <c:grouping val="clustered"/>
        <c:varyColors val="0"/>
        <c:ser>
          <c:idx val="0"/>
          <c:order val="0"/>
          <c:tx>
            <c:strRef>
              <c:f>Hoja1!$B$1</c:f>
              <c:strCache>
                <c:ptCount val="1"/>
                <c:pt idx="0">
                  <c:v>2022*</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DE00-4EA7-9C72-EB9A7ED39A91}"/>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DE00-4EA7-9C72-EB9A7ED39A91}"/>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0-4EA7-9C72-EB9A7ED39A91}"/>
                </c:ext>
              </c:extLst>
            </c:dLbl>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Donaciones </c:v>
                </c:pt>
                <c:pt idx="2">
                  <c:v>Uso de bienes y servicios  </c:v>
                </c:pt>
                <c:pt idx="3">
                  <c:v>Subsidios </c:v>
                </c:pt>
                <c:pt idx="4">
                  <c:v>Otros gastos </c:v>
                </c:pt>
                <c:pt idx="5">
                  <c:v>Remuneración a los empleados </c:v>
                </c:pt>
                <c:pt idx="6">
                  <c:v>Intereses </c:v>
                </c:pt>
                <c:pt idx="7">
                  <c:v>Prestaciones sociales </c:v>
                </c:pt>
              </c:strCache>
            </c:strRef>
          </c:cat>
          <c:val>
            <c:numRef>
              <c:f>Hoja1!$B$2:$B$9</c:f>
              <c:numCache>
                <c:formatCode>#,##0.0_ ;[Red]\-#,##0.0\ </c:formatCode>
                <c:ptCount val="8"/>
                <c:pt idx="0">
                  <c:v>15003.928316620008</c:v>
                </c:pt>
                <c:pt idx="1">
                  <c:v>3840.8139686800059</c:v>
                </c:pt>
                <c:pt idx="2">
                  <c:v>3402.7895470599997</c:v>
                </c:pt>
                <c:pt idx="3">
                  <c:v>2992.0973990699995</c:v>
                </c:pt>
                <c:pt idx="4">
                  <c:v>2211.2968203299988</c:v>
                </c:pt>
                <c:pt idx="5">
                  <c:v>1392.8375325200032</c:v>
                </c:pt>
                <c:pt idx="6">
                  <c:v>725.97186076000071</c:v>
                </c:pt>
                <c:pt idx="7">
                  <c:v>438.12118819999978</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3-DE00-4EA7-9C72-EB9A7ED39A91}"/>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a:pPr>
            <a:r>
              <a:rPr lang="en-US" sz="1100" b="1" i="0" baseline="0">
                <a:solidFill>
                  <a:sysClr val="windowText" lastClr="000000"/>
                </a:solidFill>
                <a:effectLst/>
              </a:rPr>
              <a:t>Cifra acumulada a diciembre de cada año</a:t>
            </a:r>
            <a:endParaRPr lang="es-GT" sz="1100">
              <a:solidFill>
                <a:sysClr val="windowText" lastClr="000000"/>
              </a:solidFill>
              <a:effectLst/>
            </a:endParaRPr>
          </a:p>
          <a:p>
            <a:pPr>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8770328466223277"/>
          <c:w val="1"/>
          <c:h val="0.64901324227675428"/>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2022*</c:v>
                </c:pt>
                <c:pt idx="1">
                  <c:v>2021</c:v>
                </c:pt>
                <c:pt idx="2">
                  <c:v>2020</c:v>
                </c:pt>
                <c:pt idx="3">
                  <c:v>2019</c:v>
                </c:pt>
                <c:pt idx="4">
                  <c:v>2018</c:v>
                </c:pt>
              </c:strCache>
            </c:strRef>
          </c:cat>
          <c:val>
            <c:numRef>
              <c:f>Hoja1!$B$2:$F$2</c:f>
              <c:numCache>
                <c:formatCode>#,##0.0_ ;[Red]\-#,##0.0\ </c:formatCode>
                <c:ptCount val="5"/>
                <c:pt idx="0">
                  <c:v>4622.7993099800005</c:v>
                </c:pt>
                <c:pt idx="1">
                  <c:v>3748.8820708900003</c:v>
                </c:pt>
                <c:pt idx="2">
                  <c:v>2928.3057908199999</c:v>
                </c:pt>
                <c:pt idx="3">
                  <c:v>4984.07396161</c:v>
                </c:pt>
                <c:pt idx="4">
                  <c:v>3906.3180477000001</c:v>
                </c:pt>
              </c:numCache>
            </c:numRef>
          </c:val>
          <c:extLst>
            <c:ext xmlns:c16="http://schemas.microsoft.com/office/drawing/2014/chart" uri="{C3380CC4-5D6E-409C-BE32-E72D297353CC}">
              <c16:uniqueId val="{00000000-B1F7-4409-B6F7-70C99837FA20}"/>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majorGridlines>
          <c:spPr>
            <a:ln w="9525" cap="flat" cmpd="sng" algn="ctr">
              <a:solidFill>
                <a:schemeClr val="dk1">
                  <a:lumMod val="15000"/>
                  <a:lumOff val="85000"/>
                </a:schemeClr>
              </a:solidFill>
              <a:round/>
            </a:ln>
            <a:effectLst/>
          </c:spPr>
        </c:majorGridlines>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162374305930002"/>
          <c:w val="0.84898143257751058"/>
          <c:h val="0.59969417701511829"/>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extLst>
              <c:ext xmlns:c16="http://schemas.microsoft.com/office/drawing/2014/chart" uri="{C3380CC4-5D6E-409C-BE32-E72D297353CC}">
                <c16:uniqueId val="{00000000-0DB0-4C32-8D4C-164597FE9E8F}"/>
              </c:ext>
            </c:extLst>
          </c:dPt>
          <c:dPt>
            <c:idx val="6"/>
            <c:invertIfNegative val="1"/>
            <c:bubble3D val="0"/>
            <c:extLst>
              <c:ext xmlns:c16="http://schemas.microsoft.com/office/drawing/2014/chart" uri="{C3380CC4-5D6E-409C-BE32-E72D297353CC}">
                <c16:uniqueId val="{00000001-0DB0-4C32-8D4C-164597FE9E8F}"/>
              </c:ext>
            </c:extLst>
          </c:dPt>
          <c:dPt>
            <c:idx val="9"/>
            <c:invertIfNegative val="1"/>
            <c:bubble3D val="0"/>
            <c:extLst>
              <c:ext xmlns:c16="http://schemas.microsoft.com/office/drawing/2014/chart" uri="{C3380CC4-5D6E-409C-BE32-E72D297353CC}">
                <c16:uniqueId val="{00000002-0DB0-4C32-8D4C-164597FE9E8F}"/>
              </c:ext>
            </c:extLst>
          </c:dPt>
          <c:dPt>
            <c:idx val="12"/>
            <c:invertIfNegative val="0"/>
            <c:bubble3D val="0"/>
            <c:spPr>
              <a:solidFill>
                <a:schemeClr val="tx2">
                  <a:lumMod val="75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4-0DB0-4C32-8D4C-164597FE9E8F}"/>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B0-4C32-8D4C-164597FE9E8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B0-4C32-8D4C-164597FE9E8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B0-4C32-8D4C-164597FE9E8F}"/>
                </c:ext>
              </c:extLst>
            </c:dLbl>
            <c:dLbl>
              <c:idx val="3"/>
              <c:layout>
                <c:manualLayout>
                  <c:x val="0"/>
                  <c:y val="-2.7935674271766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B0-4C32-8D4C-164597FE9E8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B0-4C32-8D4C-164597FE9E8F}"/>
                </c:ext>
              </c:extLst>
            </c:dLbl>
            <c:dLbl>
              <c:idx val="5"/>
              <c:layout>
                <c:manualLayout>
                  <c:x val="0"/>
                  <c:y val="2.5062666957535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B0-4C32-8D4C-164597FE9E8F}"/>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0-4C32-8D4C-164597FE9E8F}"/>
                </c:ext>
              </c:extLst>
            </c:dLbl>
            <c:dLbl>
              <c:idx val="7"/>
              <c:layout>
                <c:manualLayout>
                  <c:x val="0"/>
                  <c:y val="-7.686735185284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B0-4C32-8D4C-164597FE9E8F}"/>
                </c:ext>
              </c:extLst>
            </c:dLbl>
            <c:dLbl>
              <c:idx val="8"/>
              <c:layout>
                <c:manualLayout>
                  <c:x val="4.4633196360658999E-3"/>
                  <c:y val="8.7918963083090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B0-4C32-8D4C-164597FE9E8F}"/>
                </c:ext>
              </c:extLst>
            </c:dLbl>
            <c:dLbl>
              <c:idx val="9"/>
              <c:layout>
                <c:manualLayout>
                  <c:x val="0"/>
                  <c:y val="1.4181366864025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B0-4C32-8D4C-164597FE9E8F}"/>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B0-4C32-8D4C-164597FE9E8F}"/>
                </c:ext>
              </c:extLst>
            </c:dLbl>
            <c:dLbl>
              <c:idx val="11"/>
              <c:layout>
                <c:manualLayout>
                  <c:x val="-3.8439361906592348E-2"/>
                  <c:y val="1.19229282386213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B0-4C32-8D4C-164597FE9E8F}"/>
                </c:ext>
              </c:extLst>
            </c:dLbl>
            <c:dLbl>
              <c:idx val="12"/>
              <c:layout>
                <c:manualLayout>
                  <c:x val="1.9219680953296174E-2"/>
                  <c:y val="5.1712140633584543E-3"/>
                </c:manualLayout>
              </c:layout>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B0-4C32-8D4C-164597FE9E8F}"/>
                </c:ext>
              </c:extLst>
            </c:dLbl>
            <c:numFmt formatCode="#,##0.0_ ;[Red]\-#,##0.0\ "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Hoja1!$B$2:$N$2</c:f>
              <c:numCache>
                <c:formatCode>#,##0.00</c:formatCode>
                <c:ptCount val="13"/>
                <c:pt idx="0">
                  <c:v>843.4</c:v>
                </c:pt>
                <c:pt idx="1">
                  <c:v>-543.79999999999995</c:v>
                </c:pt>
                <c:pt idx="2">
                  <c:v>2221.5</c:v>
                </c:pt>
                <c:pt idx="3">
                  <c:v>-726.1</c:v>
                </c:pt>
                <c:pt idx="4">
                  <c:v>1415</c:v>
                </c:pt>
                <c:pt idx="5">
                  <c:v>-4530.7999999999993</c:v>
                </c:pt>
                <c:pt idx="6">
                  <c:v>1253.8</c:v>
                </c:pt>
                <c:pt idx="7">
                  <c:v>1950</c:v>
                </c:pt>
                <c:pt idx="8">
                  <c:v>1551.2</c:v>
                </c:pt>
                <c:pt idx="9">
                  <c:v>-1938.4</c:v>
                </c:pt>
                <c:pt idx="10">
                  <c:v>-159.69999999999999</c:v>
                </c:pt>
                <c:pt idx="11">
                  <c:v>-4982.3</c:v>
                </c:pt>
                <c:pt idx="12">
                  <c:v>-3646.2</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E-0DB0-4C32-8D4C-164597FE9E8F}"/>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in val="-6500"/>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b="1">
                <a:solidFill>
                  <a:schemeClr val="tx1"/>
                </a:solidFill>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3.9653035935563817E-2"/>
          <c:y val="0.29054059942111982"/>
          <c:w val="0.62471055430338851"/>
          <c:h val="0.66421794113680444"/>
        </c:manualLayout>
      </c:layout>
      <c:pieChart>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explosion val="2"/>
          <c:dPt>
            <c:idx val="0"/>
            <c:bubble3D val="0"/>
            <c:explosion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B246-4F1E-88EE-A5A17A6CCD93}"/>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B246-4F1E-88EE-A5A17A6CCD93}"/>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B246-4F1E-88EE-A5A17A6CCD93}"/>
              </c:ext>
            </c:extLst>
          </c:dPt>
          <c:dLbls>
            <c:dLbl>
              <c:idx val="0"/>
              <c:layout>
                <c:manualLayout>
                  <c:x val="0.4091726917034999"/>
                  <c:y val="-0.34684261305281505"/>
                </c:manualLayout>
              </c:layout>
              <c:tx>
                <c:rich>
                  <a:bodyPr/>
                  <a:lstStyle/>
                  <a:p>
                    <a:fld id="{DC3ECB95-8660-484B-8DBA-8FFFA2B3DF23}" type="CATEGORYNAME">
                      <a:rPr lang="en-US"/>
                      <a:pPr/>
                      <a:t>[NOMBRE DE CATEGORÍA]</a:t>
                    </a:fld>
                    <a:r>
                      <a:rPr lang="en-US" baseline="0"/>
                      <a:t>
</a:t>
                    </a:r>
                    <a:fld id="{2475ACC2-5FE9-40EC-AD17-6949D8164250}" type="VALUE">
                      <a:rPr lang="en-US" baseline="0"/>
                      <a:pPr/>
                      <a:t>[VALOR]</a:t>
                    </a:fld>
                    <a:r>
                      <a:rPr lang="en-US" baseline="0"/>
                      <a:t>
</a:t>
                    </a:r>
                    <a:fld id="{F0E8D96C-0634-4E13-879C-2B88D45A5256}"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051468938129946"/>
                      <c:h val="0.17450896376468841"/>
                    </c:manualLayout>
                  </c15:layout>
                  <c15:dlblFieldTable>
                    <c15:dlblFTEntry>
                      <c15:txfldGUID>{F0E8D96C-0634-4E13-879C-2B88D45A5256}</c15:txfldGUID>
                      <c15:f>Hoja1!$C$2</c15:f>
                      <c15:dlblFieldTableCache>
                        <c:ptCount val="1"/>
                        <c:pt idx="0">
                          <c:v>98.8%</c:v>
                        </c:pt>
                      </c15:dlblFieldTableCache>
                    </c15:dlblFTEntry>
                  </c15:dlblFieldTable>
                  <c15:showDataLabelsRange val="0"/>
                </c:ext>
                <c:ext xmlns:c16="http://schemas.microsoft.com/office/drawing/2014/chart" uri="{C3380CC4-5D6E-409C-BE32-E72D297353CC}">
                  <c16:uniqueId val="{00000001-B246-4F1E-88EE-A5A17A6CCD93}"/>
                </c:ext>
              </c:extLst>
            </c:dLbl>
            <c:dLbl>
              <c:idx val="1"/>
              <c:layout>
                <c:manualLayout>
                  <c:x val="-4.1924889500336619E-2"/>
                  <c:y val="-1.4220334569073897E-2"/>
                </c:manualLayout>
              </c:layout>
              <c:tx>
                <c:rich>
                  <a:bodyPr/>
                  <a:lstStyle/>
                  <a:p>
                    <a:fld id="{C0631E71-BA3D-4443-A281-2C9FC532B5CD}" type="CATEGORYNAME">
                      <a:rPr lang="en-US"/>
                      <a:pPr/>
                      <a:t>[NOMBRE DE CATEGORÍA]</a:t>
                    </a:fld>
                    <a:r>
                      <a:rPr lang="en-US" baseline="0"/>
                      <a:t>
</a:t>
                    </a:r>
                    <a:fld id="{9B110C3B-ED12-465D-8831-4E9513E95931}" type="VALUE">
                      <a:rPr lang="en-US" baseline="0"/>
                      <a:pPr/>
                      <a:t>[VALOR]</a:t>
                    </a:fld>
                    <a:r>
                      <a:rPr lang="en-US" baseline="0"/>
                      <a:t>
</a:t>
                    </a:r>
                    <a:fld id="{5AE4D37B-34A8-4459-8CE2-DA6FA99CAD6A}"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4280108109162929"/>
                      <c:h val="0.18157542560144407"/>
                    </c:manualLayout>
                  </c15:layout>
                  <c15:dlblFieldTable>
                    <c15:dlblFTEntry>
                      <c15:txfldGUID>{5AE4D37B-34A8-4459-8CE2-DA6FA99CAD6A}</c15:txfldGUID>
                      <c15:f>Hoja1!$C$3</c15:f>
                      <c15:dlblFieldTableCache>
                        <c:ptCount val="1"/>
                        <c:pt idx="0">
                          <c:v>1.2%</c:v>
                        </c:pt>
                      </c15:dlblFieldTableCache>
                    </c15:dlblFTEntry>
                  </c15:dlblFieldTable>
                  <c15:showDataLabelsRange val="0"/>
                </c:ext>
                <c:ext xmlns:c16="http://schemas.microsoft.com/office/drawing/2014/chart" uri="{C3380CC4-5D6E-409C-BE32-E72D297353CC}">
                  <c16:uniqueId val="{00000003-B246-4F1E-88EE-A5A17A6CCD93}"/>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B246-4F1E-88EE-A5A17A6CCD93}"/>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-3601.4436933099996</c:v>
                </c:pt>
                <c:pt idx="1">
                  <c:v>-44.796193639999998</c:v>
                </c:pt>
              </c:numCache>
            </c:numRef>
          </c:val>
          <c:extLst>
            <c:ext xmlns:c16="http://schemas.microsoft.com/office/drawing/2014/chart" uri="{C3380CC4-5D6E-409C-BE32-E72D297353CC}">
              <c16:uniqueId val="{00000006-B246-4F1E-88EE-A5A17A6CCD93}"/>
            </c:ext>
          </c:extLst>
        </c:ser>
        <c:ser>
          <c:idx val="1"/>
          <c:order val="1"/>
          <c:tx>
            <c:strRef>
              <c:f>Hoja1!$C$1</c:f>
              <c:strCache>
                <c:ptCount val="1"/>
                <c:pt idx="0">
                  <c:v>Columna1</c:v>
                </c:pt>
              </c:strCache>
            </c:strRef>
          </c:tx>
          <c:dPt>
            <c:idx val="0"/>
            <c:bubble3D val="0"/>
            <c:spPr>
              <a:solidFill>
                <a:schemeClr val="accent1"/>
              </a:solidFill>
              <a:ln>
                <a:noFill/>
              </a:ln>
              <a:effectLst/>
            </c:spPr>
            <c:extLst>
              <c:ext xmlns:c16="http://schemas.microsoft.com/office/drawing/2014/chart" uri="{C3380CC4-5D6E-409C-BE32-E72D297353CC}">
                <c16:uniqueId val="{00000008-B246-4F1E-88EE-A5A17A6CCD93}"/>
              </c:ext>
            </c:extLst>
          </c:dPt>
          <c:dPt>
            <c:idx val="1"/>
            <c:bubble3D val="0"/>
            <c:spPr>
              <a:solidFill>
                <a:schemeClr val="accent2"/>
              </a:solidFill>
              <a:ln>
                <a:noFill/>
              </a:ln>
              <a:effectLst/>
            </c:spPr>
            <c:extLst>
              <c:ext xmlns:c16="http://schemas.microsoft.com/office/drawing/2014/chart" uri="{C3380CC4-5D6E-409C-BE32-E72D297353CC}">
                <c16:uniqueId val="{0000000A-B246-4F1E-88EE-A5A17A6CCD93}"/>
              </c:ext>
            </c:extLst>
          </c:dPt>
          <c:dPt>
            <c:idx val="2"/>
            <c:bubble3D val="0"/>
            <c:spPr>
              <a:solidFill>
                <a:schemeClr val="accent3"/>
              </a:solidFill>
              <a:ln>
                <a:noFill/>
              </a:ln>
              <a:effectLst/>
            </c:spPr>
            <c:extLst>
              <c:ext xmlns:c16="http://schemas.microsoft.com/office/drawing/2014/chart" uri="{C3380CC4-5D6E-409C-BE32-E72D297353CC}">
                <c16:uniqueId val="{0000000C-B246-4F1E-88EE-A5A17A6CCD93}"/>
              </c:ext>
            </c:extLst>
          </c:dPt>
          <c:cat>
            <c:strRef>
              <c:f>Hoja1!$A$2:$A$4</c:f>
              <c:strCache>
                <c:ptCount val="3"/>
                <c:pt idx="0">
                  <c:v>Billetes, monedas y depósitos</c:v>
                </c:pt>
                <c:pt idx="1">
                  <c:v>Préstamos</c:v>
                </c:pt>
                <c:pt idx="2">
                  <c:v>Participaciones de capital y en fondos de inversión</c:v>
                </c:pt>
              </c:strCache>
            </c:strRef>
          </c:cat>
          <c:val>
            <c:numRef>
              <c:f>Hoja1!$C$2:$C$4</c:f>
              <c:numCache>
                <c:formatCode>0.0%</c:formatCode>
                <c:ptCount val="3"/>
                <c:pt idx="0">
                  <c:v>0.98771441401858195</c:v>
                </c:pt>
                <c:pt idx="1">
                  <c:v>1.228558598141798E-2</c:v>
                </c:pt>
              </c:numCache>
            </c:numRef>
          </c:val>
          <c:extLst>
            <c:ext xmlns:c16="http://schemas.microsoft.com/office/drawing/2014/chart" uri="{C3380CC4-5D6E-409C-BE32-E72D297353CC}">
              <c16:uniqueId val="{0000000D-B246-4F1E-88EE-A5A17A6CCD93}"/>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extLst>
              <c:ext xmlns:c16="http://schemas.microsoft.com/office/drawing/2014/chart" uri="{C3380CC4-5D6E-409C-BE32-E72D297353CC}">
                <c16:uniqueId val="{00000000-8EE9-417E-BC60-27B8348F8A95}"/>
              </c:ext>
            </c:extLst>
          </c:dPt>
          <c:dPt>
            <c:idx val="6"/>
            <c:invertIfNegative val="0"/>
            <c:bubble3D val="0"/>
            <c:spPr>
              <a:noFill/>
              <a:ln w="19050">
                <a:noFill/>
              </a:ln>
              <a:effectLst/>
            </c:spPr>
            <c:extLst>
              <c:ext xmlns:c16="http://schemas.microsoft.com/office/drawing/2014/chart" uri="{C3380CC4-5D6E-409C-BE32-E72D297353CC}">
                <c16:uniqueId val="{00000002-8EE9-417E-BC60-27B8348F8A95}"/>
              </c:ext>
            </c:extLst>
          </c:dPt>
          <c:dPt>
            <c:idx val="9"/>
            <c:invertIfNegative val="0"/>
            <c:bubble3D val="0"/>
            <c:spPr>
              <a:noFill/>
              <a:ln w="28575">
                <a:noFill/>
              </a:ln>
              <a:effectLst/>
            </c:spPr>
            <c:extLst>
              <c:ext xmlns:c16="http://schemas.microsoft.com/office/drawing/2014/chart" uri="{C3380CC4-5D6E-409C-BE32-E72D297353CC}">
                <c16:uniqueId val="{00000004-8EE9-417E-BC60-27B8348F8A95}"/>
              </c:ext>
            </c:extLst>
          </c:dPt>
          <c:dPt>
            <c:idx val="12"/>
            <c:invertIfNegative val="0"/>
            <c:bubble3D val="0"/>
            <c:spPr>
              <a:solidFill>
                <a:schemeClr val="tx2">
                  <a:lumMod val="75000"/>
                </a:schemeClr>
              </a:solidFill>
              <a:ln>
                <a:solidFill>
                  <a:schemeClr val="tx1"/>
                </a:solidFill>
              </a:ln>
              <a:effectLst/>
            </c:spPr>
            <c:extLst>
              <c:ext xmlns:c16="http://schemas.microsoft.com/office/drawing/2014/chart" uri="{C3380CC4-5D6E-409C-BE32-E72D297353CC}">
                <c16:uniqueId val="{00000006-8EE9-417E-BC60-27B8348F8A95}"/>
              </c:ext>
            </c:extLst>
          </c:dPt>
          <c:dLbls>
            <c:dLbl>
              <c:idx val="12"/>
              <c:layout>
                <c:manualLayout>
                  <c:x val="0"/>
                  <c:y val="9.27282048927557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E9-417E-BC60-27B8348F8A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Hoja1!$B$2:$N$2</c:f>
              <c:numCache>
                <c:formatCode>_-* #,##0.0_-;\-* #,##0.0_-;_-* "-"??_-;_-@_-</c:formatCode>
                <c:ptCount val="13"/>
                <c:pt idx="0">
                  <c:v>-256.10000000000002</c:v>
                </c:pt>
                <c:pt idx="1">
                  <c:v>-394.8</c:v>
                </c:pt>
                <c:pt idx="2">
                  <c:v>3083.4</c:v>
                </c:pt>
                <c:pt idx="3">
                  <c:v>-44.8</c:v>
                </c:pt>
                <c:pt idx="4">
                  <c:v>758</c:v>
                </c:pt>
                <c:pt idx="5">
                  <c:v>-3398.3</c:v>
                </c:pt>
                <c:pt idx="6">
                  <c:v>3869.4</c:v>
                </c:pt>
                <c:pt idx="7">
                  <c:v>5654.2999999999993</c:v>
                </c:pt>
                <c:pt idx="8">
                  <c:v>-89.9</c:v>
                </c:pt>
                <c:pt idx="9">
                  <c:v>-401.3</c:v>
                </c:pt>
                <c:pt idx="10">
                  <c:v>-14.7</c:v>
                </c:pt>
                <c:pt idx="11">
                  <c:v>166.9</c:v>
                </c:pt>
                <c:pt idx="12">
                  <c:v>8932.0999999999985</c:v>
                </c:pt>
              </c:numCache>
            </c:numRef>
          </c:val>
          <c:extLst>
            <c:ext xmlns:c16="http://schemas.microsoft.com/office/drawing/2014/chart" uri="{C3380CC4-5D6E-409C-BE32-E72D297353CC}">
              <c16:uniqueId val="{00000007-8EE9-417E-BC60-27B8348F8A95}"/>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8EE9-417E-BC60-27B8348F8A95}"/>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8EE9-417E-BC60-27B8348F8A95}"/>
              </c:ext>
            </c:extLst>
          </c:dPt>
          <c:dPt>
            <c:idx val="2"/>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8EE9-417E-BC60-27B8348F8A95}"/>
              </c:ext>
            </c:extLst>
          </c:dPt>
          <c:dPt>
            <c:idx val="3"/>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B-8EE9-417E-BC60-27B8348F8A95}"/>
              </c:ext>
            </c:extLst>
          </c:dPt>
          <c:dPt>
            <c:idx val="5"/>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C-8EE9-417E-BC60-27B8348F8A95}"/>
              </c:ext>
            </c:extLst>
          </c:dPt>
          <c:dPt>
            <c:idx val="6"/>
            <c:marker>
              <c:symbol val="circle"/>
              <c:size val="21"/>
              <c:spPr>
                <a:solidFill>
                  <a:schemeClr val="accent6">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8EE9-417E-BC60-27B8348F8A95}"/>
              </c:ext>
            </c:extLst>
          </c:dPt>
          <c:dPt>
            <c:idx val="7"/>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F-8EE9-417E-BC60-27B8348F8A95}"/>
              </c:ext>
            </c:extLst>
          </c:dPt>
          <c:dPt>
            <c:idx val="8"/>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8EE9-417E-BC60-27B8348F8A95}"/>
              </c:ext>
            </c:extLst>
          </c:dPt>
          <c:dPt>
            <c:idx val="9"/>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8EE9-417E-BC60-27B8348F8A95}"/>
              </c:ext>
            </c:extLst>
          </c:dPt>
          <c:dPt>
            <c:idx val="1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2-8EE9-417E-BC60-27B8348F8A95}"/>
              </c:ext>
            </c:extLst>
          </c:dPt>
          <c:dPt>
            <c:idx val="11"/>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3-8EE9-417E-BC60-27B8348F8A95}"/>
              </c:ext>
            </c:extLst>
          </c:dPt>
          <c:dLbls>
            <c:dLbl>
              <c:idx val="5"/>
              <c:layout>
                <c:manualLayout>
                  <c:x val="-9.3474426807760136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E9-417E-BC60-27B8348F8A95}"/>
                </c:ext>
              </c:extLst>
            </c:dLbl>
            <c:dLbl>
              <c:idx val="12"/>
              <c:delete val="1"/>
              <c:extLst>
                <c:ext xmlns:c15="http://schemas.microsoft.com/office/drawing/2012/chart" uri="{CE6537A1-D6FC-4f65-9D91-7224C49458BB}"/>
                <c:ext xmlns:c16="http://schemas.microsoft.com/office/drawing/2014/chart" uri="{C3380CC4-5D6E-409C-BE32-E72D297353CC}">
                  <c16:uniqueId val="{00000014-8EE9-417E-BC60-27B8348F8A9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Hoja1!$B$3:$N$3</c:f>
              <c:numCache>
                <c:formatCode>_-* #,##0.0_-;\-* #,##0.0_-;_-* "-"??_-;_-@_-</c:formatCode>
                <c:ptCount val="13"/>
                <c:pt idx="0">
                  <c:v>-256.10000000000002</c:v>
                </c:pt>
                <c:pt idx="1">
                  <c:v>-394.8</c:v>
                </c:pt>
                <c:pt idx="2">
                  <c:v>3083.4</c:v>
                </c:pt>
                <c:pt idx="3">
                  <c:v>-44.8</c:v>
                </c:pt>
                <c:pt idx="4">
                  <c:v>758</c:v>
                </c:pt>
                <c:pt idx="5">
                  <c:v>-3398.3</c:v>
                </c:pt>
                <c:pt idx="6">
                  <c:v>3869.4</c:v>
                </c:pt>
                <c:pt idx="7">
                  <c:v>5654.2999999999993</c:v>
                </c:pt>
                <c:pt idx="8">
                  <c:v>-89.9</c:v>
                </c:pt>
                <c:pt idx="9">
                  <c:v>-401.3</c:v>
                </c:pt>
                <c:pt idx="10">
                  <c:v>-14.7</c:v>
                </c:pt>
                <c:pt idx="11">
                  <c:v>166.9</c:v>
                </c:pt>
              </c:numCache>
            </c:numRef>
          </c:val>
          <c:smooth val="0"/>
          <c:extLst>
            <c:ext xmlns:c16="http://schemas.microsoft.com/office/drawing/2014/chart" uri="{C3380CC4-5D6E-409C-BE32-E72D297353CC}">
              <c16:uniqueId val="{00000015-8EE9-417E-BC60-27B8348F8A95}"/>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ax val="9000"/>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0.86131</cdr:y>
    </cdr:from>
    <cdr:to>
      <cdr:x>1</cdr:x>
      <cdr:y>0.97958</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460267" y="1648459"/>
          <a:ext cx="2404593" cy="226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0.19655</cdr:x>
      <cdr:y>0.90136</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608320" y="3461657"/>
          <a:ext cx="2486670" cy="3788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baseline="30000">
              <a:effectLst/>
              <a:latin typeface="Times New Roman" panose="02020603050405020304" pitchFamily="18" charset="0"/>
              <a:ea typeface="Times New Roman" panose="02020603050405020304" pitchFamily="18" charset="0"/>
              <a:cs typeface="Times New Roman" panose="02020603050405020304" pitchFamily="18" charset="0"/>
            </a:rPr>
            <a:t>1/ </a:t>
          </a: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0.51268</cdr:x>
      <cdr:y>0.79387</cdr:y>
    </cdr:from>
    <cdr:to>
      <cdr:x>0.93435</cdr:x>
      <cdr:y>0.79387</cdr:y>
    </cdr:to>
    <cdr:cxnSp macro="">
      <cdr:nvCxnSpPr>
        <cdr:cNvPr id="3" name="Conector recto 2"/>
        <cdr:cNvCxnSpPr/>
      </cdr:nvCxnSpPr>
      <cdr:spPr>
        <a:xfrm xmlns:a="http://schemas.openxmlformats.org/drawingml/2006/main">
          <a:off x="1396617" y="3302912"/>
          <a:ext cx="1148691"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0.38731</cdr:x>
      <cdr:y>0.93199</cdr:y>
    </cdr:from>
    <cdr:to>
      <cdr:x>0.98852</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055078" y="4530333"/>
          <a:ext cx="1637812" cy="3305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0.00533</cdr:x>
      <cdr:y>0.91087</cdr:y>
    </cdr:from>
    <cdr:to>
      <cdr:x>0.45716</cdr:x>
      <cdr:y>0.975</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1277" y="3388291"/>
          <a:ext cx="2651354" cy="2385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0.12538</cdr:x>
      <cdr:y>0.24518</cdr:y>
    </cdr:from>
    <cdr:to>
      <cdr:x>0.12538</cdr:x>
      <cdr:y>0.76922</cdr:y>
    </cdr:to>
    <cdr:cxnSp macro="">
      <cdr:nvCxnSpPr>
        <cdr:cNvPr id="3" name="Conector recto 2"/>
        <cdr:cNvCxnSpPr/>
      </cdr:nvCxnSpPr>
      <cdr:spPr>
        <a:xfrm xmlns:a="http://schemas.openxmlformats.org/drawingml/2006/main">
          <a:off x="747354" y="551146"/>
          <a:ext cx="0" cy="1177992"/>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0.58965</cdr:x>
      <cdr:y>0.85996</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514753" y="1619116"/>
          <a:ext cx="2445992" cy="2636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0.78614</cdr:x>
      <cdr:y>0.90863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25916" y="2674307"/>
          <a:ext cx="1285629" cy="2689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0.89141</cdr:x>
      <cdr:y>0.14496</cdr:y>
    </cdr:from>
    <cdr:to>
      <cdr:x>0.89141</cdr:x>
      <cdr:y>0.73485</cdr:y>
    </cdr:to>
    <cdr:cxnSp macro="">
      <cdr:nvCxnSpPr>
        <cdr:cNvPr id="4" name="Conector recto 3"/>
        <cdr:cNvCxnSpPr/>
      </cdr:nvCxnSpPr>
      <cdr:spPr>
        <a:xfrm xmlns:a="http://schemas.openxmlformats.org/drawingml/2006/main" flipH="1">
          <a:off x="2945140" y="356232"/>
          <a:ext cx="0" cy="1449625"/>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0.93651</cdr:x>
      <cdr:y>0.09817</cdr:y>
    </cdr:from>
    <cdr:to>
      <cdr:x>0.93651</cdr:x>
      <cdr:y>0.62176</cdr:y>
    </cdr:to>
    <cdr:cxnSp macro="">
      <cdr:nvCxnSpPr>
        <cdr:cNvPr id="3" name="Conector recto 2"/>
        <cdr:cNvCxnSpPr/>
      </cdr:nvCxnSpPr>
      <cdr:spPr>
        <a:xfrm xmlns:a="http://schemas.openxmlformats.org/drawingml/2006/main">
          <a:off x="3371864" y="215440"/>
          <a:ext cx="0" cy="1149050"/>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cdr:x>
      <cdr:y>0.85052</cdr:y>
    </cdr:from>
    <cdr:to>
      <cdr:x>0.3026</cdr:x>
      <cdr:y>0.96</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0" y="2222970"/>
          <a:ext cx="1089496" cy="2861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0.00247</cdr:x>
      <cdr:y>0.93274</cdr:y>
    </cdr:from>
    <cdr:to>
      <cdr:x>0.18837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4631" y="4213554"/>
          <a:ext cx="1103262" cy="3038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B47F-8224-4013-8EE9-B6C68F0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12</Pages>
  <Words>3310</Words>
  <Characters>18210</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21478</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Año</dc:subject>
  <dc:creator>DAPF</dc:creator>
  <cp:keywords/>
  <dc:description/>
  <cp:lastModifiedBy>Carlos Herrera</cp:lastModifiedBy>
  <cp:revision>105</cp:revision>
  <cp:lastPrinted>2023-02-16T17:04:00Z</cp:lastPrinted>
  <dcterms:created xsi:type="dcterms:W3CDTF">2023-02-14T15:17:00Z</dcterms:created>
  <dcterms:modified xsi:type="dcterms:W3CDTF">2023-02-16T17:04:00Z</dcterms:modified>
  <cp:category>Ministerio de Finanzas Públicas</cp:category>
</cp:coreProperties>
</file>